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bCs/>
          <w:kern w:val="0"/>
          <w:sz w:val="28"/>
          <w:szCs w:val="28"/>
        </w:rPr>
      </w:pPr>
    </w:p>
    <w:p>
      <w:pPr>
        <w:widowControl/>
        <w:jc w:val="center"/>
        <w:rPr>
          <w:rFonts w:ascii="宋体" w:hAnsi="宋体"/>
          <w:b/>
          <w:bCs/>
          <w:kern w:val="0"/>
          <w:sz w:val="28"/>
          <w:szCs w:val="28"/>
        </w:rPr>
      </w:pPr>
      <w:r>
        <w:rPr>
          <w:rFonts w:ascii="宋体" w:hAnsi="宋体"/>
          <w:b/>
          <w:bCs/>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10"/>
                    <a:stretch>
                      <a:fillRect/>
                    </a:stretch>
                  </pic:blipFill>
                  <pic:spPr>
                    <a:xfrm>
                      <a:off x="0" y="0"/>
                      <a:ext cx="2095500" cy="2065020"/>
                    </a:xfrm>
                    <a:prstGeom prst="rect">
                      <a:avLst/>
                    </a:prstGeom>
                    <a:noFill/>
                    <a:ln w="9525">
                      <a:noFill/>
                    </a:ln>
                  </pic:spPr>
                </pic:pic>
              </a:graphicData>
            </a:graphic>
          </wp:inline>
        </w:drawing>
      </w:r>
    </w:p>
    <w:p>
      <w:pPr>
        <w:widowControl/>
        <w:jc w:val="center"/>
        <w:rPr>
          <w:rFonts w:ascii="宋体" w:hAnsi="宋体"/>
          <w:color w:val="000000"/>
          <w:kern w:val="0"/>
          <w:sz w:val="44"/>
          <w:szCs w:val="44"/>
        </w:rPr>
      </w:pP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2019年全国工程材料检测实操培训班</w:t>
      </w:r>
    </w:p>
    <w:p>
      <w:pPr>
        <w:widowControl/>
        <w:jc w:val="center"/>
        <w:rPr>
          <w:rFonts w:ascii="华文仿宋" w:hAnsi="华文仿宋" w:eastAsia="华文仿宋" w:cs="Arial"/>
          <w:b/>
          <w:bCs/>
          <w:color w:val="000000"/>
          <w:kern w:val="0"/>
          <w:sz w:val="48"/>
          <w:szCs w:val="44"/>
        </w:rPr>
      </w:pPr>
      <w:r>
        <w:rPr>
          <w:rFonts w:hint="eastAsia" w:ascii="华文仿宋" w:hAnsi="华文仿宋" w:eastAsia="华文仿宋" w:cs="Arial"/>
          <w:b/>
          <w:bCs/>
          <w:color w:val="000000"/>
          <w:kern w:val="0"/>
          <w:sz w:val="48"/>
          <w:szCs w:val="44"/>
        </w:rPr>
        <w:t>（第3期）</w:t>
      </w:r>
    </w:p>
    <w:p>
      <w:pPr>
        <w:widowControl/>
        <w:jc w:val="center"/>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rPr>
          <w:rFonts w:ascii="华文仿宋" w:hAnsi="华文仿宋" w:eastAsia="华文仿宋"/>
          <w:color w:val="000000"/>
          <w:kern w:val="0"/>
          <w:sz w:val="28"/>
          <w:szCs w:val="28"/>
        </w:rPr>
      </w:pP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中国科学院武汉分院继续教育学院</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中国科学院武汉岩土力学研究所</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武汉建筑业协会</w:t>
      </w:r>
    </w:p>
    <w:p>
      <w:pPr>
        <w:tabs>
          <w:tab w:val="left" w:pos="5580"/>
        </w:tabs>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武汉铁路桥梁职业学院</w:t>
      </w:r>
    </w:p>
    <w:p>
      <w:pPr>
        <w:widowControl/>
        <w:adjustRightInd w:val="0"/>
        <w:snapToGrid w:val="0"/>
        <w:jc w:val="center"/>
        <w:rPr>
          <w:rFonts w:ascii="仿宋" w:hAnsi="仿宋" w:eastAsia="仿宋" w:cs="Arial"/>
          <w:b/>
          <w:bCs/>
          <w:color w:val="000000"/>
          <w:kern w:val="0"/>
          <w:sz w:val="32"/>
          <w:szCs w:val="32"/>
        </w:rPr>
      </w:pPr>
      <w:r>
        <w:rPr>
          <w:rFonts w:hint="eastAsia" w:ascii="仿宋" w:hAnsi="仿宋" w:eastAsia="仿宋" w:cs="Arial"/>
          <w:b/>
          <w:bCs/>
          <w:color w:val="000000"/>
          <w:kern w:val="0"/>
          <w:sz w:val="32"/>
          <w:szCs w:val="32"/>
        </w:rPr>
        <w:t>武汉中科岩土工程技术培训有限公司</w:t>
      </w: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Arial"/>
          <w:b/>
          <w:bCs/>
          <w:color w:val="000000"/>
          <w:kern w:val="0"/>
          <w:sz w:val="32"/>
          <w:szCs w:val="32"/>
        </w:rPr>
      </w:pP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仿宋_GB2312"/>
          <w:b/>
          <w:color w:val="000000"/>
          <w:sz w:val="32"/>
          <w:szCs w:val="32"/>
        </w:rPr>
        <w:t>湖北·武汉</w:t>
      </w:r>
    </w:p>
    <w:p>
      <w:pPr>
        <w:widowControl/>
        <w:adjustRightInd w:val="0"/>
        <w:snapToGrid w:val="0"/>
        <w:jc w:val="center"/>
        <w:rPr>
          <w:rFonts w:ascii="仿宋" w:hAnsi="仿宋" w:eastAsia="仿宋" w:cs="仿宋_GB2312"/>
          <w:b/>
          <w:color w:val="000000"/>
          <w:sz w:val="32"/>
          <w:szCs w:val="32"/>
        </w:rPr>
      </w:pPr>
      <w:r>
        <w:rPr>
          <w:rFonts w:hint="eastAsia" w:ascii="仿宋" w:hAnsi="仿宋" w:eastAsia="仿宋" w:cs="Arial"/>
          <w:b/>
          <w:bCs/>
          <w:color w:val="000000"/>
          <w:kern w:val="0"/>
          <w:sz w:val="32"/>
          <w:szCs w:val="32"/>
        </w:rPr>
        <w:t>2019年3月27日-3月31日</w:t>
      </w:r>
    </w:p>
    <w:p>
      <w:pPr>
        <w:widowControl/>
        <w:adjustRightInd w:val="0"/>
        <w:snapToGrid w:val="0"/>
        <w:jc w:val="center"/>
        <w:rPr>
          <w:rFonts w:ascii="方正小标宋简体" w:hAnsi="方正小标宋简体" w:eastAsia="方正小标宋简体" w:cs="方正小标宋简体"/>
          <w:color w:val="000000"/>
          <w:kern w:val="0"/>
          <w:sz w:val="44"/>
          <w:szCs w:val="44"/>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p>
    <w:p>
      <w:pPr>
        <w:widowControl/>
        <w:adjustRightInd w:val="0"/>
        <w:snapToGrid w:val="0"/>
        <w:jc w:val="center"/>
        <w:rPr>
          <w:rFonts w:ascii="方正小标宋简体" w:hAnsi="方正小标宋简体" w:eastAsia="方正小标宋简体" w:cs="方正小标宋简体"/>
          <w:color w:val="000000"/>
          <w:kern w:val="0"/>
          <w:sz w:val="28"/>
          <w:szCs w:val="28"/>
        </w:rPr>
      </w:pPr>
    </w:p>
    <w:p>
      <w:pPr>
        <w:widowControl/>
        <w:adjustRightInd w:val="0"/>
        <w:snapToGrid w:val="0"/>
        <w:rPr>
          <w:rFonts w:ascii="方正小标宋简体" w:hAnsi="方正小标宋简体" w:eastAsia="方正小标宋简体" w:cs="方正小标宋简体"/>
          <w:color w:val="000000"/>
          <w:kern w:val="0"/>
          <w:sz w:val="44"/>
          <w:szCs w:val="44"/>
        </w:rPr>
      </w:pPr>
    </w:p>
    <w:p>
      <w:pPr>
        <w:widowControl/>
        <w:adjustRightInd w:val="0"/>
        <w:snapToGrid w:val="0"/>
        <w:rPr>
          <w:rFonts w:ascii="方正小标宋简体" w:hAnsi="方正小标宋简体" w:eastAsia="方正小标宋简体" w:cs="方正小标宋简体"/>
          <w:color w:val="000000"/>
          <w:kern w:val="0"/>
          <w:sz w:val="44"/>
          <w:szCs w:val="44"/>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关于举办2019年全国第3期工程材料检测</w:t>
      </w: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实操培训班的</w:t>
      </w:r>
      <w:bookmarkStart w:id="0" w:name="_GoBack"/>
      <w:bookmarkEnd w:id="0"/>
      <w:r>
        <w:rPr>
          <w:rFonts w:hint="eastAsia" w:ascii="方正小标宋简体" w:hAnsi="方正小标宋简体" w:eastAsia="方正小标宋简体" w:cs="方正小标宋简体"/>
          <w:color w:val="000000"/>
          <w:kern w:val="0"/>
          <w:sz w:val="44"/>
          <w:szCs w:val="44"/>
        </w:rPr>
        <w:t>预报名通知</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各有关检测机构：</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为进一步满足从事工程材料检测人员全面系统地学习需求，提升工程材料检测专业技能，加强各单位之间相互学习与交流，以切实解决各单位遇到的各种技术问题为目标。特定于2019年3月27日在湖北省武汉市举办“2019年全国第3期工程材料检测实操培训班”。本期培训班由中国科学院武汉分院继续教育学院和中国科学院武汉岩土力学研究所联合主办，武汉建筑业协会和武汉铁路桥梁职业学院协办，武汉中科岩土工程技术培训有限公司具体承办。现将有关事宜通知如下：</w:t>
      </w:r>
    </w:p>
    <w:p>
      <w:pPr>
        <w:widowControl/>
        <w:numPr>
          <w:ilvl w:val="0"/>
          <w:numId w:val="1"/>
        </w:numPr>
        <w:adjustRightInd w:val="0"/>
        <w:snapToGrid w:val="0"/>
        <w:spacing w:beforeLines="50" w:afterLines="50"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培训对象</w:t>
      </w:r>
    </w:p>
    <w:p>
      <w:pPr>
        <w:widowControl/>
        <w:tabs>
          <w:tab w:val="left" w:pos="2310"/>
        </w:tabs>
        <w:adjustRightInd w:val="0"/>
        <w:snapToGrid w:val="0"/>
        <w:spacing w:line="360" w:lineRule="auto"/>
        <w:ind w:firstLine="560" w:firstLineChars="200"/>
        <w:rPr>
          <w:rFonts w:ascii="仿宋" w:hAnsi="仿宋" w:eastAsia="仿宋" w:cs="Arial"/>
          <w:bCs/>
          <w:color w:val="000000"/>
          <w:kern w:val="0"/>
          <w:sz w:val="28"/>
          <w:szCs w:val="28"/>
        </w:rPr>
      </w:pPr>
      <w:r>
        <w:rPr>
          <w:rFonts w:hint="eastAsia" w:ascii="仿宋" w:hAnsi="仿宋" w:eastAsia="仿宋" w:cs="Arial"/>
          <w:bCs/>
          <w:kern w:val="0"/>
          <w:sz w:val="28"/>
          <w:szCs w:val="28"/>
        </w:rPr>
        <w:t>各建筑工程质量检测公司、工程质量监督站，房屋质量检测站、交通工程检测部门、建科院等单位工程技术人员和管理人员。</w:t>
      </w:r>
    </w:p>
    <w:p>
      <w:pPr>
        <w:widowControl/>
        <w:numPr>
          <w:ilvl w:val="0"/>
          <w:numId w:val="1"/>
        </w:numPr>
        <w:adjustRightInd w:val="0"/>
        <w:snapToGrid w:val="0"/>
        <w:spacing w:beforeLines="50" w:afterLines="50"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培训目标</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1、熟悉“检测技术规范及相关法律法规”；</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2、掌握“仪器设备的规范操作及保养方法”；</w:t>
      </w:r>
    </w:p>
    <w:p>
      <w:pPr>
        <w:widowControl/>
        <w:tabs>
          <w:tab w:val="left" w:pos="2310"/>
        </w:tabs>
        <w:adjustRightInd w:val="0"/>
        <w:snapToGrid w:val="0"/>
        <w:spacing w:line="360" w:lineRule="auto"/>
        <w:ind w:firstLine="560" w:firstLineChars="200"/>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3、掌握“检测步骤、现场操作、数据处理、结果评定和报告编写”。</w:t>
      </w:r>
    </w:p>
    <w:p>
      <w:pPr>
        <w:widowControl/>
        <w:tabs>
          <w:tab w:val="left" w:pos="2310"/>
        </w:tabs>
        <w:adjustRightInd w:val="0"/>
        <w:snapToGrid w:val="0"/>
        <w:spacing w:line="360" w:lineRule="auto"/>
        <w:ind w:firstLine="560" w:firstLineChars="200"/>
        <w:rPr>
          <w:rFonts w:ascii="仿宋" w:hAnsi="仿宋" w:eastAsia="仿宋" w:cs="Arial"/>
          <w:bCs/>
          <w:color w:val="000000"/>
          <w:kern w:val="0"/>
          <w:sz w:val="28"/>
          <w:szCs w:val="28"/>
        </w:rPr>
      </w:pPr>
    </w:p>
    <w:p>
      <w:pPr>
        <w:widowControl/>
        <w:tabs>
          <w:tab w:val="left" w:pos="2310"/>
        </w:tabs>
        <w:adjustRightInd w:val="0"/>
        <w:snapToGrid w:val="0"/>
        <w:spacing w:line="360" w:lineRule="auto"/>
        <w:ind w:firstLine="560" w:firstLineChars="200"/>
        <w:rPr>
          <w:rFonts w:ascii="仿宋" w:hAnsi="仿宋" w:eastAsia="仿宋" w:cs="Arial"/>
          <w:bCs/>
          <w:color w:val="000000"/>
          <w:kern w:val="0"/>
          <w:sz w:val="28"/>
          <w:szCs w:val="28"/>
        </w:rPr>
      </w:pPr>
    </w:p>
    <w:p>
      <w:pPr>
        <w:widowControl/>
        <w:tabs>
          <w:tab w:val="left" w:pos="2310"/>
        </w:tabs>
        <w:adjustRightInd w:val="0"/>
        <w:snapToGrid w:val="0"/>
        <w:spacing w:line="360" w:lineRule="auto"/>
        <w:ind w:firstLine="560" w:firstLineChars="200"/>
        <w:rPr>
          <w:rFonts w:ascii="仿宋" w:hAnsi="仿宋" w:eastAsia="仿宋" w:cs="Arial"/>
          <w:bCs/>
          <w:color w:val="000000"/>
          <w:kern w:val="0"/>
          <w:sz w:val="28"/>
          <w:szCs w:val="28"/>
        </w:rPr>
      </w:pPr>
    </w:p>
    <w:p>
      <w:pPr>
        <w:widowControl/>
        <w:numPr>
          <w:ilvl w:val="0"/>
          <w:numId w:val="1"/>
        </w:numPr>
        <w:adjustRightInd w:val="0"/>
        <w:snapToGrid w:val="0"/>
        <w:spacing w:beforeLines="50" w:afterLines="50"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培训安排</w:t>
      </w:r>
    </w:p>
    <w:tbl>
      <w:tblPr>
        <w:tblStyle w:val="15"/>
        <w:tblW w:w="919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83"/>
        <w:gridCol w:w="1559"/>
        <w:gridCol w:w="850"/>
        <w:gridCol w:w="993"/>
        <w:gridCol w:w="3543"/>
        <w:gridCol w:w="9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6" w:hRule="atLeast"/>
          <w:jc w:val="center"/>
        </w:trPr>
        <w:tc>
          <w:tcPr>
            <w:tcW w:w="2842" w:type="dxa"/>
            <w:gridSpan w:val="2"/>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时间</w:t>
            </w:r>
          </w:p>
        </w:tc>
        <w:tc>
          <w:tcPr>
            <w:tcW w:w="5386" w:type="dxa"/>
            <w:gridSpan w:val="3"/>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课程安排</w:t>
            </w:r>
          </w:p>
        </w:tc>
        <w:tc>
          <w:tcPr>
            <w:tcW w:w="964" w:type="dxa"/>
            <w:vAlign w:val="center"/>
          </w:tcPr>
          <w:p>
            <w:pPr>
              <w:jc w:val="center"/>
              <w:rPr>
                <w:rFonts w:ascii="仿宋" w:hAnsi="仿宋" w:eastAsia="仿宋" w:cs="Arial"/>
                <w:bCs/>
                <w:color w:val="000000"/>
                <w:kern w:val="0"/>
                <w:sz w:val="24"/>
              </w:rPr>
            </w:pPr>
            <w:r>
              <w:rPr>
                <w:rFonts w:ascii="仿宋" w:hAnsi="仿宋" w:eastAsia="仿宋" w:cs="Arial"/>
                <w:bCs/>
                <w:color w:val="000000"/>
                <w:kern w:val="0"/>
                <w:sz w:val="24"/>
              </w:rPr>
              <w:t>地点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6" w:hRule="atLeast"/>
          <w:jc w:val="center"/>
        </w:trPr>
        <w:tc>
          <w:tcPr>
            <w:tcW w:w="1283"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3月27日</w:t>
            </w:r>
          </w:p>
          <w:p>
            <w:pPr>
              <w:jc w:val="center"/>
              <w:rPr>
                <w:rFonts w:ascii="仿宋" w:hAnsi="仿宋" w:eastAsia="仿宋" w:cs="Arial"/>
                <w:bCs/>
                <w:color w:val="000000"/>
                <w:kern w:val="0"/>
                <w:sz w:val="24"/>
              </w:rPr>
            </w:pPr>
            <w:r>
              <w:rPr>
                <w:rFonts w:hint="eastAsia" w:ascii="仿宋" w:hAnsi="仿宋" w:eastAsia="仿宋" w:cs="Arial"/>
                <w:bCs/>
                <w:color w:val="000000"/>
                <w:kern w:val="0"/>
                <w:sz w:val="24"/>
              </w:rPr>
              <w:t>周三</w:t>
            </w:r>
          </w:p>
        </w:tc>
        <w:tc>
          <w:tcPr>
            <w:tcW w:w="1559"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14:00-17:30</w:t>
            </w:r>
          </w:p>
        </w:tc>
        <w:tc>
          <w:tcPr>
            <w:tcW w:w="5386" w:type="dxa"/>
            <w:gridSpan w:val="3"/>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报到</w:t>
            </w:r>
          </w:p>
        </w:tc>
        <w:tc>
          <w:tcPr>
            <w:tcW w:w="964" w:type="dxa"/>
            <w:vMerge w:val="restart"/>
            <w:vAlign w:val="center"/>
          </w:tcPr>
          <w:p>
            <w:pPr>
              <w:jc w:val="center"/>
              <w:rPr>
                <w:rFonts w:ascii="仿宋" w:hAnsi="仿宋" w:eastAsia="仿宋" w:cs="Arial"/>
                <w:bCs/>
                <w:color w:val="000000"/>
                <w:kern w:val="0"/>
                <w:sz w:val="24"/>
              </w:rPr>
            </w:pPr>
            <w:r>
              <w:rPr>
                <w:rFonts w:ascii="仿宋" w:hAnsi="仿宋" w:eastAsia="仿宋" w:cs="Arial"/>
                <w:bCs/>
                <w:color w:val="000000"/>
                <w:kern w:val="0"/>
                <w:sz w:val="24"/>
              </w:rPr>
              <w:t>酒店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01" w:hRule="atLeast"/>
          <w:jc w:val="center"/>
        </w:trPr>
        <w:tc>
          <w:tcPr>
            <w:tcW w:w="1283"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3月28日</w:t>
            </w:r>
          </w:p>
          <w:p>
            <w:pPr>
              <w:jc w:val="center"/>
              <w:rPr>
                <w:rFonts w:ascii="仿宋" w:hAnsi="仿宋" w:eastAsia="仿宋" w:cs="Arial"/>
                <w:bCs/>
                <w:color w:val="000000"/>
                <w:kern w:val="0"/>
                <w:sz w:val="24"/>
              </w:rPr>
            </w:pPr>
            <w:r>
              <w:rPr>
                <w:rFonts w:hint="eastAsia" w:ascii="仿宋" w:hAnsi="仿宋" w:eastAsia="仿宋" w:cs="Arial"/>
                <w:bCs/>
                <w:color w:val="000000"/>
                <w:kern w:val="0"/>
                <w:sz w:val="24"/>
              </w:rPr>
              <w:t>周四</w:t>
            </w:r>
          </w:p>
        </w:tc>
        <w:tc>
          <w:tcPr>
            <w:tcW w:w="1559"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8:30-12:00</w:t>
            </w:r>
          </w:p>
        </w:tc>
        <w:tc>
          <w:tcPr>
            <w:tcW w:w="850"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理论</w:t>
            </w:r>
          </w:p>
        </w:tc>
        <w:tc>
          <w:tcPr>
            <w:tcW w:w="4536" w:type="dxa"/>
            <w:gridSpan w:val="2"/>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检测管理：法律、法规、管理体系</w:t>
            </w:r>
          </w:p>
          <w:p>
            <w:pPr>
              <w:jc w:val="left"/>
              <w:rPr>
                <w:rFonts w:ascii="仿宋" w:hAnsi="仿宋" w:eastAsia="仿宋" w:cs="Arial"/>
                <w:bCs/>
                <w:color w:val="000000"/>
                <w:kern w:val="0"/>
                <w:sz w:val="24"/>
              </w:rPr>
            </w:pPr>
            <w:r>
              <w:rPr>
                <w:rFonts w:hint="eastAsia" w:ascii="仿宋" w:hAnsi="仿宋" w:eastAsia="仿宋" w:cs="Arial"/>
                <w:bCs/>
                <w:color w:val="000000"/>
                <w:kern w:val="0"/>
                <w:sz w:val="24"/>
              </w:rPr>
              <w:t>基础知识：材料基本概念、数据修约</w:t>
            </w:r>
          </w:p>
          <w:p>
            <w:pPr>
              <w:jc w:val="left"/>
              <w:rPr>
                <w:rFonts w:ascii="仿宋" w:hAnsi="仿宋" w:eastAsia="仿宋" w:cs="Arial"/>
                <w:bCs/>
                <w:color w:val="000000"/>
                <w:kern w:val="0"/>
                <w:sz w:val="24"/>
              </w:rPr>
            </w:pPr>
            <w:r>
              <w:rPr>
                <w:rFonts w:hint="eastAsia" w:ascii="仿宋" w:hAnsi="仿宋" w:eastAsia="仿宋" w:cs="Arial"/>
                <w:bCs/>
                <w:color w:val="000000"/>
                <w:kern w:val="0"/>
                <w:sz w:val="24"/>
              </w:rPr>
              <w:t>水泥检测的相关理论知识</w:t>
            </w:r>
          </w:p>
        </w:tc>
        <w:tc>
          <w:tcPr>
            <w:tcW w:w="964" w:type="dxa"/>
            <w:vMerge w:val="continue"/>
            <w:vAlign w:val="center"/>
          </w:tcPr>
          <w:p>
            <w:pPr>
              <w:jc w:val="center"/>
              <w:rPr>
                <w:rFonts w:ascii="仿宋" w:hAnsi="仿宋" w:eastAsia="仿宋" w:cs="Arial"/>
                <w:bCs/>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24" w:hRule="atLeast"/>
          <w:jc w:val="center"/>
        </w:trPr>
        <w:tc>
          <w:tcPr>
            <w:tcW w:w="1283" w:type="dxa"/>
            <w:vMerge w:val="continue"/>
            <w:vAlign w:val="center"/>
          </w:tcPr>
          <w:p>
            <w:pPr>
              <w:jc w:val="center"/>
              <w:rPr>
                <w:rFonts w:ascii="仿宋" w:hAnsi="仿宋" w:eastAsia="仿宋" w:cs="Arial"/>
                <w:bCs/>
                <w:color w:val="000000"/>
                <w:kern w:val="0"/>
                <w:sz w:val="24"/>
              </w:rPr>
            </w:pPr>
          </w:p>
        </w:tc>
        <w:tc>
          <w:tcPr>
            <w:tcW w:w="1559"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14:00-17:30</w:t>
            </w:r>
          </w:p>
        </w:tc>
        <w:tc>
          <w:tcPr>
            <w:tcW w:w="850" w:type="dxa"/>
            <w:vMerge w:val="continue"/>
            <w:vAlign w:val="center"/>
          </w:tcPr>
          <w:p>
            <w:pPr>
              <w:jc w:val="center"/>
              <w:rPr>
                <w:rFonts w:ascii="仿宋" w:hAnsi="仿宋" w:eastAsia="仿宋" w:cs="Arial"/>
                <w:bCs/>
                <w:color w:val="000000"/>
                <w:kern w:val="0"/>
                <w:sz w:val="24"/>
              </w:rPr>
            </w:pPr>
          </w:p>
        </w:tc>
        <w:tc>
          <w:tcPr>
            <w:tcW w:w="4536" w:type="dxa"/>
            <w:gridSpan w:val="2"/>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集料检测的相关理论知识</w:t>
            </w:r>
          </w:p>
          <w:p>
            <w:pPr>
              <w:jc w:val="left"/>
              <w:rPr>
                <w:rFonts w:ascii="仿宋" w:hAnsi="仿宋" w:eastAsia="仿宋" w:cs="Arial"/>
                <w:bCs/>
                <w:color w:val="000000"/>
                <w:kern w:val="0"/>
                <w:sz w:val="24"/>
              </w:rPr>
            </w:pPr>
            <w:r>
              <w:rPr>
                <w:rFonts w:hint="eastAsia" w:ascii="仿宋" w:hAnsi="仿宋" w:eastAsia="仿宋" w:cs="Arial"/>
                <w:bCs/>
                <w:color w:val="000000"/>
                <w:kern w:val="0"/>
                <w:sz w:val="24"/>
              </w:rPr>
              <w:t>砂浆检测的相关理论知识</w:t>
            </w:r>
          </w:p>
          <w:p>
            <w:pPr>
              <w:jc w:val="left"/>
              <w:rPr>
                <w:rFonts w:ascii="仿宋" w:hAnsi="仿宋" w:eastAsia="仿宋" w:cs="Arial"/>
                <w:bCs/>
                <w:color w:val="000000"/>
                <w:kern w:val="0"/>
                <w:sz w:val="24"/>
              </w:rPr>
            </w:pPr>
            <w:r>
              <w:rPr>
                <w:rFonts w:hint="eastAsia" w:ascii="仿宋" w:hAnsi="仿宋" w:eastAsia="仿宋" w:cs="Arial"/>
                <w:bCs/>
                <w:color w:val="000000"/>
                <w:kern w:val="0"/>
                <w:sz w:val="24"/>
              </w:rPr>
              <w:t>混凝土检测的相关理论知识</w:t>
            </w:r>
          </w:p>
          <w:p>
            <w:pPr>
              <w:jc w:val="left"/>
              <w:rPr>
                <w:rFonts w:ascii="仿宋" w:hAnsi="仿宋" w:eastAsia="仿宋" w:cs="Arial"/>
                <w:bCs/>
                <w:color w:val="000000"/>
                <w:kern w:val="0"/>
                <w:sz w:val="24"/>
              </w:rPr>
            </w:pPr>
            <w:r>
              <w:rPr>
                <w:rFonts w:hint="eastAsia" w:ascii="仿宋" w:hAnsi="仿宋" w:eastAsia="仿宋" w:cs="Arial"/>
                <w:bCs/>
                <w:color w:val="000000"/>
                <w:kern w:val="0"/>
                <w:sz w:val="24"/>
              </w:rPr>
              <w:t>混凝土外加剂检验、混凝土掺合料检验</w:t>
            </w:r>
          </w:p>
        </w:tc>
        <w:tc>
          <w:tcPr>
            <w:tcW w:w="964" w:type="dxa"/>
            <w:vMerge w:val="continue"/>
            <w:vAlign w:val="center"/>
          </w:tcPr>
          <w:p>
            <w:pPr>
              <w:jc w:val="left"/>
              <w:rPr>
                <w:rFonts w:ascii="仿宋" w:hAnsi="仿宋" w:eastAsia="仿宋" w:cs="Arial"/>
                <w:bCs/>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01" w:hRule="atLeast"/>
          <w:jc w:val="center"/>
        </w:trPr>
        <w:tc>
          <w:tcPr>
            <w:tcW w:w="1283"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3月29日</w:t>
            </w:r>
          </w:p>
          <w:p>
            <w:pPr>
              <w:jc w:val="center"/>
              <w:rPr>
                <w:rFonts w:ascii="仿宋" w:hAnsi="仿宋" w:eastAsia="仿宋" w:cs="Arial"/>
                <w:bCs/>
                <w:color w:val="000000"/>
                <w:kern w:val="0"/>
                <w:sz w:val="24"/>
              </w:rPr>
            </w:pPr>
            <w:r>
              <w:rPr>
                <w:rFonts w:hint="eastAsia" w:ascii="仿宋" w:hAnsi="仿宋" w:eastAsia="仿宋" w:cs="Arial"/>
                <w:bCs/>
                <w:color w:val="000000"/>
                <w:kern w:val="0"/>
                <w:sz w:val="24"/>
              </w:rPr>
              <w:t>周五</w:t>
            </w:r>
          </w:p>
        </w:tc>
        <w:tc>
          <w:tcPr>
            <w:tcW w:w="1559"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8:30-12:00</w:t>
            </w:r>
          </w:p>
        </w:tc>
        <w:tc>
          <w:tcPr>
            <w:tcW w:w="850"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理论</w:t>
            </w:r>
          </w:p>
        </w:tc>
        <w:tc>
          <w:tcPr>
            <w:tcW w:w="4536" w:type="dxa"/>
            <w:gridSpan w:val="2"/>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土工及路基路面检测的相关理论知识</w:t>
            </w:r>
          </w:p>
        </w:tc>
        <w:tc>
          <w:tcPr>
            <w:tcW w:w="964" w:type="dxa"/>
            <w:vMerge w:val="restart"/>
            <w:vAlign w:val="center"/>
          </w:tcPr>
          <w:p>
            <w:pPr>
              <w:jc w:val="center"/>
              <w:rPr>
                <w:rFonts w:ascii="仿宋" w:hAnsi="仿宋" w:eastAsia="仿宋" w:cs="Arial"/>
                <w:bCs/>
                <w:color w:val="000000"/>
                <w:kern w:val="0"/>
                <w:sz w:val="24"/>
              </w:rPr>
            </w:pPr>
            <w:r>
              <w:rPr>
                <w:rFonts w:ascii="仿宋" w:hAnsi="仿宋" w:eastAsia="仿宋" w:cs="Arial"/>
                <w:bCs/>
                <w:color w:val="000000"/>
                <w:kern w:val="0"/>
                <w:sz w:val="24"/>
              </w:rPr>
              <w:t>学校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12" w:hRule="atLeast"/>
          <w:jc w:val="center"/>
        </w:trPr>
        <w:tc>
          <w:tcPr>
            <w:tcW w:w="1283" w:type="dxa"/>
            <w:vMerge w:val="continue"/>
            <w:vAlign w:val="center"/>
          </w:tcPr>
          <w:p>
            <w:pPr>
              <w:jc w:val="center"/>
              <w:rPr>
                <w:rFonts w:ascii="仿宋" w:hAnsi="仿宋" w:eastAsia="仿宋" w:cs="Arial"/>
                <w:bCs/>
                <w:color w:val="000000"/>
                <w:kern w:val="0"/>
                <w:sz w:val="24"/>
              </w:rPr>
            </w:pPr>
          </w:p>
        </w:tc>
        <w:tc>
          <w:tcPr>
            <w:tcW w:w="1559"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14:00-17:30</w:t>
            </w:r>
          </w:p>
        </w:tc>
        <w:tc>
          <w:tcPr>
            <w:tcW w:w="850" w:type="dxa"/>
            <w:vMerge w:val="continue"/>
            <w:vAlign w:val="center"/>
          </w:tcPr>
          <w:p>
            <w:pPr>
              <w:jc w:val="center"/>
              <w:rPr>
                <w:rFonts w:ascii="仿宋" w:hAnsi="仿宋" w:eastAsia="仿宋" w:cs="Arial"/>
                <w:bCs/>
                <w:color w:val="000000"/>
                <w:kern w:val="0"/>
                <w:sz w:val="24"/>
              </w:rPr>
            </w:pPr>
          </w:p>
        </w:tc>
        <w:tc>
          <w:tcPr>
            <w:tcW w:w="4536" w:type="dxa"/>
            <w:gridSpan w:val="2"/>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金属材料检测的相关理论知识</w:t>
            </w:r>
          </w:p>
          <w:p>
            <w:pPr>
              <w:jc w:val="left"/>
              <w:rPr>
                <w:rFonts w:ascii="仿宋" w:hAnsi="仿宋" w:eastAsia="仿宋" w:cs="Arial"/>
                <w:bCs/>
                <w:color w:val="000000"/>
                <w:kern w:val="0"/>
                <w:sz w:val="24"/>
              </w:rPr>
            </w:pPr>
            <w:r>
              <w:rPr>
                <w:rFonts w:hint="eastAsia" w:ascii="仿宋" w:hAnsi="仿宋" w:eastAsia="仿宋" w:cs="Arial"/>
                <w:bCs/>
                <w:color w:val="000000"/>
                <w:kern w:val="0"/>
                <w:sz w:val="24"/>
              </w:rPr>
              <w:t>钢绞线力学性能检测试验</w:t>
            </w:r>
          </w:p>
          <w:p>
            <w:pPr>
              <w:jc w:val="left"/>
              <w:rPr>
                <w:rFonts w:ascii="仿宋" w:hAnsi="仿宋" w:eastAsia="仿宋" w:cs="Arial"/>
                <w:bCs/>
                <w:color w:val="000000"/>
                <w:kern w:val="0"/>
                <w:sz w:val="24"/>
              </w:rPr>
            </w:pPr>
            <w:r>
              <w:rPr>
                <w:rFonts w:hint="eastAsia" w:ascii="仿宋" w:hAnsi="仿宋" w:eastAsia="仿宋" w:cs="Arial"/>
                <w:bCs/>
                <w:color w:val="000000"/>
                <w:kern w:val="0"/>
                <w:sz w:val="24"/>
              </w:rPr>
              <w:t>螺栓力学性能检测试验</w:t>
            </w:r>
          </w:p>
        </w:tc>
        <w:tc>
          <w:tcPr>
            <w:tcW w:w="964" w:type="dxa"/>
            <w:vMerge w:val="continue"/>
            <w:vAlign w:val="center"/>
          </w:tcPr>
          <w:p>
            <w:pPr>
              <w:jc w:val="left"/>
              <w:rPr>
                <w:rFonts w:ascii="仿宋" w:hAnsi="仿宋" w:eastAsia="仿宋" w:cs="Arial"/>
                <w:bCs/>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2" w:hRule="atLeast"/>
          <w:jc w:val="center"/>
        </w:trPr>
        <w:tc>
          <w:tcPr>
            <w:tcW w:w="1283"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3月30日周六</w:t>
            </w:r>
          </w:p>
          <w:p>
            <w:pPr>
              <w:jc w:val="center"/>
              <w:rPr>
                <w:rFonts w:ascii="仿宋" w:hAnsi="仿宋" w:eastAsia="仿宋" w:cs="Arial"/>
                <w:bCs/>
                <w:color w:val="000000"/>
                <w:kern w:val="0"/>
                <w:sz w:val="24"/>
              </w:rPr>
            </w:pPr>
          </w:p>
          <w:p>
            <w:pPr>
              <w:rPr>
                <w:rFonts w:ascii="仿宋" w:hAnsi="仿宋" w:eastAsia="仿宋" w:cs="Arial"/>
                <w:bCs/>
                <w:color w:val="000000"/>
                <w:kern w:val="0"/>
                <w:sz w:val="24"/>
              </w:rPr>
            </w:pPr>
            <w:r>
              <w:rPr>
                <w:rFonts w:hint="eastAsia" w:ascii="仿宋" w:hAnsi="仿宋" w:eastAsia="仿宋" w:cs="Arial"/>
                <w:bCs/>
                <w:color w:val="000000"/>
                <w:kern w:val="0"/>
                <w:sz w:val="24"/>
              </w:rPr>
              <w:t>3月31日</w:t>
            </w:r>
          </w:p>
          <w:p>
            <w:pPr>
              <w:jc w:val="center"/>
              <w:rPr>
                <w:rFonts w:ascii="仿宋" w:hAnsi="仿宋" w:eastAsia="仿宋" w:cs="Arial"/>
                <w:bCs/>
                <w:color w:val="000000"/>
                <w:kern w:val="0"/>
                <w:sz w:val="24"/>
              </w:rPr>
            </w:pPr>
            <w:r>
              <w:rPr>
                <w:rFonts w:hint="eastAsia" w:ascii="仿宋" w:hAnsi="仿宋" w:eastAsia="仿宋" w:cs="Arial"/>
                <w:bCs/>
                <w:color w:val="000000"/>
                <w:kern w:val="0"/>
                <w:sz w:val="24"/>
              </w:rPr>
              <w:t>周日</w:t>
            </w:r>
          </w:p>
        </w:tc>
        <w:tc>
          <w:tcPr>
            <w:tcW w:w="1559"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8:30-17:30</w:t>
            </w:r>
          </w:p>
        </w:tc>
        <w:tc>
          <w:tcPr>
            <w:tcW w:w="850" w:type="dxa"/>
            <w:vMerge w:val="restart"/>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实操+</w:t>
            </w:r>
          </w:p>
          <w:p>
            <w:pPr>
              <w:jc w:val="center"/>
              <w:rPr>
                <w:rFonts w:ascii="仿宋" w:hAnsi="仿宋" w:eastAsia="仿宋" w:cs="Arial"/>
                <w:bCs/>
                <w:color w:val="000000"/>
                <w:kern w:val="0"/>
                <w:sz w:val="24"/>
              </w:rPr>
            </w:pPr>
            <w:r>
              <w:rPr>
                <w:rFonts w:hint="eastAsia" w:ascii="仿宋" w:hAnsi="仿宋" w:eastAsia="仿宋" w:cs="Arial"/>
                <w:bCs/>
                <w:color w:val="000000"/>
                <w:kern w:val="0"/>
                <w:sz w:val="24"/>
              </w:rPr>
              <w:t>视频</w:t>
            </w:r>
          </w:p>
        </w:tc>
        <w:tc>
          <w:tcPr>
            <w:tcW w:w="993"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水泥</w:t>
            </w:r>
          </w:p>
        </w:tc>
        <w:tc>
          <w:tcPr>
            <w:tcW w:w="3543" w:type="dxa"/>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比表面积、细度、标准稠度用水量、凝结时间、安定性实验、胶砂试件成型、胶砂强度试验（抗压、抗折）</w:t>
            </w:r>
          </w:p>
        </w:tc>
        <w:tc>
          <w:tcPr>
            <w:tcW w:w="964" w:type="dxa"/>
            <w:vMerge w:val="continue"/>
            <w:vAlign w:val="center"/>
          </w:tcPr>
          <w:p>
            <w:pPr>
              <w:jc w:val="left"/>
              <w:rPr>
                <w:rFonts w:ascii="仿宋" w:hAnsi="仿宋" w:eastAsia="仿宋" w:cs="Arial"/>
                <w:bCs/>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57" w:hRule="atLeast"/>
          <w:jc w:val="center"/>
        </w:trPr>
        <w:tc>
          <w:tcPr>
            <w:tcW w:w="1283" w:type="dxa"/>
            <w:vMerge w:val="continue"/>
            <w:vAlign w:val="center"/>
          </w:tcPr>
          <w:p>
            <w:pPr>
              <w:jc w:val="center"/>
              <w:rPr>
                <w:rFonts w:ascii="仿宋" w:hAnsi="仿宋" w:eastAsia="仿宋" w:cs="Arial"/>
                <w:bCs/>
                <w:color w:val="000000"/>
                <w:kern w:val="0"/>
                <w:sz w:val="24"/>
              </w:rPr>
            </w:pPr>
          </w:p>
        </w:tc>
        <w:tc>
          <w:tcPr>
            <w:tcW w:w="1559" w:type="dxa"/>
            <w:vMerge w:val="continue"/>
            <w:vAlign w:val="center"/>
          </w:tcPr>
          <w:p>
            <w:pPr>
              <w:jc w:val="center"/>
              <w:rPr>
                <w:rFonts w:ascii="仿宋" w:hAnsi="仿宋" w:eastAsia="仿宋" w:cs="Arial"/>
                <w:bCs/>
                <w:color w:val="000000"/>
                <w:kern w:val="0"/>
                <w:sz w:val="24"/>
              </w:rPr>
            </w:pPr>
          </w:p>
        </w:tc>
        <w:tc>
          <w:tcPr>
            <w:tcW w:w="850" w:type="dxa"/>
            <w:vMerge w:val="continue"/>
            <w:vAlign w:val="center"/>
          </w:tcPr>
          <w:p>
            <w:pPr>
              <w:jc w:val="center"/>
              <w:rPr>
                <w:rFonts w:ascii="仿宋" w:hAnsi="仿宋" w:eastAsia="仿宋" w:cs="Arial"/>
                <w:bCs/>
                <w:color w:val="000000"/>
                <w:kern w:val="0"/>
                <w:sz w:val="24"/>
              </w:rPr>
            </w:pPr>
          </w:p>
        </w:tc>
        <w:tc>
          <w:tcPr>
            <w:tcW w:w="993"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混凝土</w:t>
            </w:r>
          </w:p>
        </w:tc>
        <w:tc>
          <w:tcPr>
            <w:tcW w:w="3543" w:type="dxa"/>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配合比、坍落度试验、表观密度试验、含气量试验、泌水率试验、弹性模量试验、凝结时间试验（视频）</w:t>
            </w:r>
          </w:p>
        </w:tc>
        <w:tc>
          <w:tcPr>
            <w:tcW w:w="964" w:type="dxa"/>
            <w:vMerge w:val="continue"/>
            <w:vAlign w:val="center"/>
          </w:tcPr>
          <w:p>
            <w:pPr>
              <w:jc w:val="left"/>
              <w:rPr>
                <w:rFonts w:ascii="仿宋" w:hAnsi="仿宋" w:eastAsia="仿宋" w:cs="Arial"/>
                <w:bCs/>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8" w:hRule="atLeast"/>
          <w:jc w:val="center"/>
        </w:trPr>
        <w:tc>
          <w:tcPr>
            <w:tcW w:w="1283" w:type="dxa"/>
            <w:vMerge w:val="continue"/>
            <w:vAlign w:val="center"/>
          </w:tcPr>
          <w:p>
            <w:pPr>
              <w:jc w:val="center"/>
              <w:rPr>
                <w:rFonts w:ascii="仿宋" w:hAnsi="仿宋" w:eastAsia="仿宋" w:cs="Arial"/>
                <w:bCs/>
                <w:color w:val="000000"/>
                <w:kern w:val="0"/>
                <w:sz w:val="24"/>
              </w:rPr>
            </w:pPr>
          </w:p>
        </w:tc>
        <w:tc>
          <w:tcPr>
            <w:tcW w:w="1559" w:type="dxa"/>
            <w:vMerge w:val="continue"/>
            <w:vAlign w:val="center"/>
          </w:tcPr>
          <w:p>
            <w:pPr>
              <w:jc w:val="center"/>
              <w:rPr>
                <w:rFonts w:ascii="仿宋" w:hAnsi="仿宋" w:eastAsia="仿宋" w:cs="Arial"/>
                <w:bCs/>
                <w:color w:val="000000"/>
                <w:kern w:val="0"/>
                <w:sz w:val="24"/>
              </w:rPr>
            </w:pPr>
          </w:p>
        </w:tc>
        <w:tc>
          <w:tcPr>
            <w:tcW w:w="850" w:type="dxa"/>
            <w:vMerge w:val="continue"/>
            <w:vAlign w:val="center"/>
          </w:tcPr>
          <w:p>
            <w:pPr>
              <w:jc w:val="center"/>
              <w:rPr>
                <w:rFonts w:ascii="仿宋" w:hAnsi="仿宋" w:eastAsia="仿宋" w:cs="Arial"/>
                <w:bCs/>
                <w:color w:val="000000"/>
                <w:kern w:val="0"/>
                <w:sz w:val="24"/>
              </w:rPr>
            </w:pPr>
          </w:p>
        </w:tc>
        <w:tc>
          <w:tcPr>
            <w:tcW w:w="993"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外加剂</w:t>
            </w:r>
          </w:p>
        </w:tc>
        <w:tc>
          <w:tcPr>
            <w:tcW w:w="3543" w:type="dxa"/>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减水率（砂浆）</w:t>
            </w:r>
          </w:p>
        </w:tc>
        <w:tc>
          <w:tcPr>
            <w:tcW w:w="964" w:type="dxa"/>
            <w:vMerge w:val="continue"/>
            <w:vAlign w:val="center"/>
          </w:tcPr>
          <w:p>
            <w:pPr>
              <w:jc w:val="left"/>
              <w:rPr>
                <w:rFonts w:ascii="仿宋" w:hAnsi="仿宋" w:eastAsia="仿宋" w:cs="Arial"/>
                <w:bCs/>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2" w:hRule="atLeast"/>
          <w:jc w:val="center"/>
        </w:trPr>
        <w:tc>
          <w:tcPr>
            <w:tcW w:w="1283" w:type="dxa"/>
            <w:vMerge w:val="continue"/>
            <w:vAlign w:val="center"/>
          </w:tcPr>
          <w:p>
            <w:pPr>
              <w:jc w:val="center"/>
              <w:rPr>
                <w:rFonts w:ascii="仿宋" w:hAnsi="仿宋" w:eastAsia="仿宋" w:cs="Arial"/>
                <w:bCs/>
                <w:color w:val="000000"/>
                <w:kern w:val="0"/>
                <w:sz w:val="24"/>
              </w:rPr>
            </w:pPr>
          </w:p>
        </w:tc>
        <w:tc>
          <w:tcPr>
            <w:tcW w:w="1559" w:type="dxa"/>
            <w:vMerge w:val="continue"/>
            <w:vAlign w:val="center"/>
          </w:tcPr>
          <w:p>
            <w:pPr>
              <w:jc w:val="center"/>
              <w:rPr>
                <w:rFonts w:ascii="仿宋" w:hAnsi="仿宋" w:eastAsia="仿宋" w:cs="Arial"/>
                <w:bCs/>
                <w:color w:val="000000"/>
                <w:kern w:val="0"/>
                <w:sz w:val="24"/>
              </w:rPr>
            </w:pPr>
          </w:p>
        </w:tc>
        <w:tc>
          <w:tcPr>
            <w:tcW w:w="850" w:type="dxa"/>
            <w:vMerge w:val="continue"/>
            <w:vAlign w:val="center"/>
          </w:tcPr>
          <w:p>
            <w:pPr>
              <w:jc w:val="center"/>
              <w:rPr>
                <w:rFonts w:ascii="仿宋" w:hAnsi="仿宋" w:eastAsia="仿宋" w:cs="Arial"/>
                <w:bCs/>
                <w:color w:val="000000"/>
                <w:kern w:val="0"/>
                <w:sz w:val="24"/>
              </w:rPr>
            </w:pPr>
          </w:p>
        </w:tc>
        <w:tc>
          <w:tcPr>
            <w:tcW w:w="993"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土工</w:t>
            </w:r>
          </w:p>
        </w:tc>
        <w:tc>
          <w:tcPr>
            <w:tcW w:w="3543" w:type="dxa"/>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界限含水率试验、标准击实试验、无机结合料稳定土的水泥或石灰剂量的测定</w:t>
            </w:r>
          </w:p>
        </w:tc>
        <w:tc>
          <w:tcPr>
            <w:tcW w:w="964" w:type="dxa"/>
            <w:vMerge w:val="continue"/>
            <w:vAlign w:val="center"/>
          </w:tcPr>
          <w:p>
            <w:pPr>
              <w:jc w:val="left"/>
              <w:rPr>
                <w:rFonts w:ascii="仿宋" w:hAnsi="仿宋" w:eastAsia="仿宋" w:cs="Arial"/>
                <w:bCs/>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2" w:hRule="atLeast"/>
          <w:jc w:val="center"/>
        </w:trPr>
        <w:tc>
          <w:tcPr>
            <w:tcW w:w="1283" w:type="dxa"/>
            <w:vMerge w:val="continue"/>
            <w:vAlign w:val="center"/>
          </w:tcPr>
          <w:p>
            <w:pPr>
              <w:jc w:val="center"/>
              <w:rPr>
                <w:rFonts w:ascii="仿宋" w:hAnsi="仿宋" w:eastAsia="仿宋" w:cs="Arial"/>
                <w:bCs/>
                <w:color w:val="000000"/>
                <w:kern w:val="0"/>
                <w:sz w:val="24"/>
              </w:rPr>
            </w:pPr>
          </w:p>
        </w:tc>
        <w:tc>
          <w:tcPr>
            <w:tcW w:w="1559" w:type="dxa"/>
            <w:vMerge w:val="continue"/>
            <w:vAlign w:val="center"/>
          </w:tcPr>
          <w:p>
            <w:pPr>
              <w:jc w:val="center"/>
              <w:rPr>
                <w:rFonts w:ascii="仿宋" w:hAnsi="仿宋" w:eastAsia="仿宋" w:cs="Arial"/>
                <w:bCs/>
                <w:color w:val="000000"/>
                <w:kern w:val="0"/>
                <w:sz w:val="24"/>
              </w:rPr>
            </w:pPr>
          </w:p>
        </w:tc>
        <w:tc>
          <w:tcPr>
            <w:tcW w:w="850" w:type="dxa"/>
            <w:vMerge w:val="continue"/>
            <w:vAlign w:val="center"/>
          </w:tcPr>
          <w:p>
            <w:pPr>
              <w:jc w:val="center"/>
              <w:rPr>
                <w:rFonts w:ascii="仿宋" w:hAnsi="仿宋" w:eastAsia="仿宋" w:cs="Arial"/>
                <w:bCs/>
                <w:color w:val="000000"/>
                <w:kern w:val="0"/>
                <w:sz w:val="24"/>
              </w:rPr>
            </w:pPr>
          </w:p>
        </w:tc>
        <w:tc>
          <w:tcPr>
            <w:tcW w:w="993"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钢筋</w:t>
            </w:r>
          </w:p>
          <w:p>
            <w:pPr>
              <w:jc w:val="center"/>
              <w:rPr>
                <w:rFonts w:ascii="仿宋" w:hAnsi="仿宋" w:eastAsia="仿宋" w:cs="Arial"/>
                <w:bCs/>
                <w:color w:val="000000"/>
                <w:kern w:val="0"/>
                <w:sz w:val="24"/>
              </w:rPr>
            </w:pPr>
            <w:r>
              <w:rPr>
                <w:rFonts w:hint="eastAsia" w:ascii="仿宋" w:hAnsi="仿宋" w:eastAsia="仿宋" w:cs="Arial"/>
                <w:bCs/>
                <w:color w:val="000000"/>
                <w:kern w:val="0"/>
                <w:sz w:val="24"/>
              </w:rPr>
              <w:t>原材</w:t>
            </w:r>
          </w:p>
        </w:tc>
        <w:tc>
          <w:tcPr>
            <w:tcW w:w="3543" w:type="dxa"/>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拉伸实验、重量偏差、弯曲试验及反向弯曲试验</w:t>
            </w:r>
          </w:p>
        </w:tc>
        <w:tc>
          <w:tcPr>
            <w:tcW w:w="964" w:type="dxa"/>
            <w:vMerge w:val="continue"/>
            <w:vAlign w:val="center"/>
          </w:tcPr>
          <w:p>
            <w:pPr>
              <w:jc w:val="left"/>
              <w:rPr>
                <w:rFonts w:ascii="仿宋" w:hAnsi="仿宋" w:eastAsia="仿宋" w:cs="Arial"/>
                <w:bCs/>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3" w:hRule="atLeast"/>
          <w:jc w:val="center"/>
        </w:trPr>
        <w:tc>
          <w:tcPr>
            <w:tcW w:w="1283" w:type="dxa"/>
            <w:vMerge w:val="continue"/>
            <w:vAlign w:val="center"/>
          </w:tcPr>
          <w:p>
            <w:pPr>
              <w:jc w:val="center"/>
              <w:rPr>
                <w:rFonts w:ascii="仿宋" w:hAnsi="仿宋" w:eastAsia="仿宋" w:cs="Arial"/>
                <w:bCs/>
                <w:color w:val="000000"/>
                <w:kern w:val="0"/>
                <w:sz w:val="24"/>
              </w:rPr>
            </w:pPr>
          </w:p>
        </w:tc>
        <w:tc>
          <w:tcPr>
            <w:tcW w:w="1559" w:type="dxa"/>
            <w:vMerge w:val="continue"/>
            <w:vAlign w:val="center"/>
          </w:tcPr>
          <w:p>
            <w:pPr>
              <w:jc w:val="center"/>
              <w:rPr>
                <w:rFonts w:ascii="仿宋" w:hAnsi="仿宋" w:eastAsia="仿宋" w:cs="Arial"/>
                <w:bCs/>
                <w:color w:val="000000"/>
                <w:kern w:val="0"/>
                <w:sz w:val="24"/>
              </w:rPr>
            </w:pPr>
          </w:p>
        </w:tc>
        <w:tc>
          <w:tcPr>
            <w:tcW w:w="850" w:type="dxa"/>
            <w:vMerge w:val="continue"/>
            <w:vAlign w:val="center"/>
          </w:tcPr>
          <w:p>
            <w:pPr>
              <w:jc w:val="center"/>
              <w:rPr>
                <w:rFonts w:ascii="仿宋" w:hAnsi="仿宋" w:eastAsia="仿宋" w:cs="Arial"/>
                <w:bCs/>
                <w:color w:val="000000"/>
                <w:kern w:val="0"/>
                <w:sz w:val="24"/>
              </w:rPr>
            </w:pPr>
          </w:p>
        </w:tc>
        <w:tc>
          <w:tcPr>
            <w:tcW w:w="993" w:type="dxa"/>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螺栓</w:t>
            </w:r>
          </w:p>
        </w:tc>
        <w:tc>
          <w:tcPr>
            <w:tcW w:w="3543" w:type="dxa"/>
            <w:vAlign w:val="center"/>
          </w:tcPr>
          <w:p>
            <w:pPr>
              <w:jc w:val="left"/>
              <w:rPr>
                <w:rFonts w:ascii="仿宋" w:hAnsi="仿宋" w:eastAsia="仿宋" w:cs="Arial"/>
                <w:bCs/>
                <w:color w:val="000000"/>
                <w:kern w:val="0"/>
                <w:sz w:val="24"/>
              </w:rPr>
            </w:pPr>
            <w:r>
              <w:rPr>
                <w:rFonts w:hint="eastAsia" w:ascii="仿宋" w:hAnsi="仿宋" w:eastAsia="仿宋" w:cs="Arial"/>
                <w:bCs/>
                <w:color w:val="000000"/>
                <w:kern w:val="0"/>
                <w:sz w:val="24"/>
              </w:rPr>
              <w:t>洛氏硬度</w:t>
            </w:r>
          </w:p>
        </w:tc>
        <w:tc>
          <w:tcPr>
            <w:tcW w:w="964" w:type="dxa"/>
            <w:vMerge w:val="continue"/>
            <w:vAlign w:val="center"/>
          </w:tcPr>
          <w:p>
            <w:pPr>
              <w:jc w:val="left"/>
              <w:rPr>
                <w:rFonts w:ascii="仿宋" w:hAnsi="仿宋" w:eastAsia="仿宋" w:cs="Arial"/>
                <w:bCs/>
                <w:color w:val="000000"/>
                <w:kern w:val="0"/>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5" w:hRule="atLeast"/>
          <w:jc w:val="center"/>
        </w:trPr>
        <w:tc>
          <w:tcPr>
            <w:tcW w:w="1283" w:type="dxa"/>
            <w:vMerge w:val="continue"/>
            <w:vAlign w:val="center"/>
          </w:tcPr>
          <w:p>
            <w:pPr>
              <w:jc w:val="center"/>
              <w:rPr>
                <w:rFonts w:ascii="仿宋" w:hAnsi="仿宋" w:eastAsia="仿宋" w:cs="Arial"/>
                <w:bCs/>
                <w:color w:val="000000"/>
                <w:kern w:val="0"/>
                <w:sz w:val="24"/>
              </w:rPr>
            </w:pPr>
          </w:p>
        </w:tc>
        <w:tc>
          <w:tcPr>
            <w:tcW w:w="1559" w:type="dxa"/>
            <w:vMerge w:val="continue"/>
            <w:vAlign w:val="center"/>
          </w:tcPr>
          <w:p>
            <w:pPr>
              <w:jc w:val="center"/>
              <w:rPr>
                <w:rFonts w:ascii="仿宋" w:hAnsi="仿宋" w:eastAsia="仿宋" w:cs="Arial"/>
                <w:bCs/>
                <w:color w:val="000000"/>
                <w:kern w:val="0"/>
                <w:sz w:val="24"/>
              </w:rPr>
            </w:pPr>
          </w:p>
        </w:tc>
        <w:tc>
          <w:tcPr>
            <w:tcW w:w="5386" w:type="dxa"/>
            <w:gridSpan w:val="3"/>
            <w:vAlign w:val="center"/>
          </w:tcPr>
          <w:p>
            <w:pPr>
              <w:jc w:val="center"/>
              <w:rPr>
                <w:rFonts w:ascii="仿宋" w:hAnsi="仿宋" w:eastAsia="仿宋" w:cs="Arial"/>
                <w:bCs/>
                <w:color w:val="000000"/>
                <w:kern w:val="0"/>
                <w:sz w:val="24"/>
              </w:rPr>
            </w:pPr>
            <w:r>
              <w:rPr>
                <w:rFonts w:hint="eastAsia" w:ascii="仿宋" w:hAnsi="仿宋" w:eastAsia="仿宋" w:cs="Arial"/>
                <w:bCs/>
                <w:color w:val="000000"/>
                <w:kern w:val="0"/>
                <w:sz w:val="24"/>
              </w:rPr>
              <w:t>理论考试</w:t>
            </w:r>
          </w:p>
        </w:tc>
        <w:tc>
          <w:tcPr>
            <w:tcW w:w="964" w:type="dxa"/>
            <w:vMerge w:val="continue"/>
            <w:vAlign w:val="center"/>
          </w:tcPr>
          <w:p>
            <w:pPr>
              <w:jc w:val="center"/>
              <w:rPr>
                <w:rFonts w:ascii="仿宋" w:hAnsi="仿宋" w:eastAsia="仿宋" w:cs="Arial"/>
                <w:bCs/>
                <w:color w:val="000000"/>
                <w:kern w:val="0"/>
                <w:sz w:val="24"/>
              </w:rPr>
            </w:pPr>
          </w:p>
        </w:tc>
      </w:tr>
    </w:tbl>
    <w:p>
      <w:pPr>
        <w:adjustRightInd w:val="0"/>
        <w:snapToGrid w:val="0"/>
        <w:spacing w:line="360" w:lineRule="auto"/>
        <w:jc w:val="left"/>
        <w:rPr>
          <w:rFonts w:ascii="仿宋" w:hAnsi="仿宋" w:eastAsia="仿宋" w:cs="Arial"/>
          <w:b/>
          <w:color w:val="000000"/>
          <w:kern w:val="0"/>
          <w:sz w:val="28"/>
          <w:szCs w:val="28"/>
        </w:rPr>
      </w:pP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培训特色</w:t>
      </w:r>
    </w:p>
    <w:p>
      <w:pPr>
        <w:widowControl/>
        <w:tabs>
          <w:tab w:val="left" w:pos="2310"/>
        </w:tabs>
        <w:adjustRightInd w:val="0"/>
        <w:snapToGrid w:val="0"/>
        <w:spacing w:line="360" w:lineRule="auto"/>
        <w:ind w:firstLine="560" w:firstLineChars="200"/>
        <w:rPr>
          <w:rFonts w:ascii="仿宋" w:hAnsi="仿宋" w:eastAsia="仿宋" w:cs="Arial"/>
          <w:bCs/>
          <w:kern w:val="0"/>
          <w:sz w:val="28"/>
          <w:szCs w:val="28"/>
        </w:rPr>
      </w:pPr>
      <w:r>
        <w:rPr>
          <w:rFonts w:hint="eastAsia" w:ascii="仿宋" w:hAnsi="仿宋" w:eastAsia="仿宋" w:cs="Arial"/>
          <w:bCs/>
          <w:kern w:val="0"/>
          <w:sz w:val="28"/>
          <w:szCs w:val="28"/>
        </w:rPr>
        <w:t>本次培训采用“</w:t>
      </w:r>
      <w:r>
        <w:rPr>
          <w:rFonts w:hint="eastAsia" w:ascii="仿宋" w:hAnsi="仿宋" w:eastAsia="仿宋" w:cs="Arial"/>
          <w:b/>
          <w:color w:val="000000"/>
          <w:kern w:val="0"/>
          <w:sz w:val="28"/>
          <w:szCs w:val="28"/>
        </w:rPr>
        <w:t>专家理论讲解+视频教学+现场实际操作</w:t>
      </w:r>
      <w:r>
        <w:rPr>
          <w:rFonts w:hint="eastAsia" w:ascii="仿宋" w:hAnsi="仿宋" w:eastAsia="仿宋" w:cs="Arial"/>
          <w:bCs/>
          <w:kern w:val="0"/>
          <w:sz w:val="28"/>
          <w:szCs w:val="28"/>
        </w:rPr>
        <w:t>”相结合的方式，</w:t>
      </w:r>
      <w:r>
        <w:rPr>
          <w:rFonts w:hint="eastAsia" w:ascii="仿宋" w:hAnsi="仿宋" w:eastAsia="仿宋" w:cs="Arial"/>
          <w:bCs/>
          <w:color w:val="000000"/>
          <w:kern w:val="0"/>
          <w:sz w:val="28"/>
          <w:szCs w:val="28"/>
        </w:rPr>
        <w:t>重点解读：规范化检测流程、疑难点、易错点及不规范点</w:t>
      </w:r>
      <w:r>
        <w:rPr>
          <w:rFonts w:hint="eastAsia" w:ascii="仿宋" w:hAnsi="仿宋" w:eastAsia="仿宋" w:cs="Arial"/>
          <w:bCs/>
          <w:kern w:val="0"/>
          <w:sz w:val="28"/>
          <w:szCs w:val="28"/>
        </w:rPr>
        <w:t>。</w:t>
      </w: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培训师资</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本期培训班由中岩培训工程材料检测专家委员会的部分专家进行授课。</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岩培训工程材料检测专家委员会”由中国科学院、中国建筑科学研究院、各省建筑科学研究院、高等院校和工程质量检测知名企业等领域的专家组成，专家委员会主要负责课程研发设计、教学大纲和教学计划、课件教材编写、新标准新技术研讨、培训授课等相关工作。</w:t>
      </w: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培训证书</w:t>
      </w:r>
    </w:p>
    <w:p>
      <w:pPr>
        <w:widowControl/>
        <w:adjustRightInd w:val="0"/>
        <w:snapToGrid w:val="0"/>
        <w:spacing w:line="360" w:lineRule="auto"/>
        <w:ind w:firstLine="560" w:firstLineChars="200"/>
        <w:jc w:val="left"/>
        <w:rPr>
          <w:rFonts w:ascii="仿宋" w:hAnsi="仿宋" w:eastAsia="仿宋" w:cs="Arial"/>
          <w:b/>
          <w:color w:val="000000"/>
          <w:kern w:val="0"/>
          <w:sz w:val="28"/>
          <w:szCs w:val="28"/>
        </w:rPr>
      </w:pPr>
      <w:r>
        <w:rPr>
          <w:rFonts w:hint="eastAsia" w:ascii="仿宋" w:hAnsi="仿宋" w:eastAsia="仿宋" w:cs="Arial"/>
          <w:bCs/>
          <w:color w:val="000000"/>
          <w:kern w:val="0"/>
          <w:sz w:val="28"/>
          <w:szCs w:val="28"/>
        </w:rPr>
        <w:t>参加由中国科学院武汉分院继续教育学院和中科院武汉岩土力学研究所统一组织的培训考试，考试合格后颁发《建设工程质量检测继续教育证》和《上岗职业培训证书》。</w:t>
      </w: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培训费用</w:t>
      </w:r>
    </w:p>
    <w:p>
      <w:pPr>
        <w:adjustRightInd w:val="0"/>
        <w:snapToGrid w:val="0"/>
        <w:spacing w:line="360" w:lineRule="auto"/>
        <w:ind w:firstLine="560" w:firstLineChars="200"/>
        <w:jc w:val="left"/>
        <w:rPr>
          <w:rFonts w:ascii="仿宋" w:hAnsi="仿宋" w:eastAsia="仿宋" w:cs="Arial"/>
          <w:b/>
          <w:color w:val="000000"/>
          <w:kern w:val="0"/>
          <w:sz w:val="28"/>
          <w:szCs w:val="28"/>
        </w:rPr>
      </w:pPr>
      <w:r>
        <w:rPr>
          <w:rFonts w:hint="eastAsia" w:ascii="仿宋" w:hAnsi="仿宋" w:eastAsia="仿宋" w:cs="Arial"/>
          <w:bCs/>
          <w:color w:val="000000"/>
          <w:kern w:val="0"/>
          <w:sz w:val="28"/>
          <w:szCs w:val="28"/>
        </w:rPr>
        <w:t>培训费用：2600元/人。含培训费、资料费、证书办理及相关费用，培训期间免费提供午餐，住宿自理。</w:t>
      </w: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培训地点</w:t>
      </w:r>
    </w:p>
    <w:p>
      <w:pPr>
        <w:adjustRightInd w:val="0"/>
        <w:snapToGrid w:val="0"/>
        <w:spacing w:line="360" w:lineRule="auto"/>
        <w:ind w:firstLine="560" w:firstLineChars="200"/>
        <w:jc w:val="left"/>
        <w:rPr>
          <w:rFonts w:ascii="仿宋" w:hAnsi="仿宋" w:eastAsia="仿宋" w:cs="Arial"/>
          <w:bCs/>
          <w:kern w:val="0"/>
          <w:sz w:val="28"/>
          <w:szCs w:val="28"/>
        </w:rPr>
      </w:pPr>
      <w:r>
        <w:rPr>
          <w:rFonts w:hint="eastAsia" w:ascii="仿宋" w:hAnsi="仿宋" w:eastAsia="仿宋" w:cs="Arial"/>
          <w:bCs/>
          <w:kern w:val="0"/>
          <w:sz w:val="28"/>
          <w:szCs w:val="28"/>
        </w:rPr>
        <w:t>1、武汉帅府饭店（</w:t>
      </w:r>
      <w:r>
        <w:rPr>
          <w:rFonts w:ascii="仿宋" w:hAnsi="仿宋" w:eastAsia="仿宋" w:cs="Arial"/>
          <w:bCs/>
          <w:kern w:val="0"/>
          <w:sz w:val="28"/>
          <w:szCs w:val="28"/>
        </w:rPr>
        <w:t>湖北省武汉市武昌区八一路98号</w:t>
      </w:r>
      <w:r>
        <w:rPr>
          <w:rFonts w:hint="eastAsia" w:ascii="仿宋" w:hAnsi="仿宋" w:eastAsia="仿宋" w:cs="Arial"/>
          <w:bCs/>
          <w:kern w:val="0"/>
          <w:sz w:val="28"/>
          <w:szCs w:val="28"/>
        </w:rPr>
        <w:t>）</w:t>
      </w:r>
    </w:p>
    <w:p>
      <w:pPr>
        <w:adjustRightInd w:val="0"/>
        <w:snapToGrid w:val="0"/>
        <w:spacing w:line="360" w:lineRule="auto"/>
        <w:ind w:firstLine="560" w:firstLineChars="20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2、武汉铁路桥梁职业学院（武汉市经济技术开发区（汉南区）东荆街马影河大道</w:t>
      </w:r>
      <w:r>
        <w:rPr>
          <w:rFonts w:ascii="仿宋" w:hAnsi="仿宋" w:eastAsia="仿宋" w:cs="Arial"/>
          <w:bCs/>
          <w:color w:val="000000"/>
          <w:kern w:val="0"/>
          <w:sz w:val="28"/>
          <w:szCs w:val="28"/>
        </w:rPr>
        <w:t>66</w:t>
      </w:r>
      <w:r>
        <w:rPr>
          <w:rFonts w:hint="eastAsia" w:ascii="仿宋" w:hAnsi="仿宋" w:eastAsia="仿宋" w:cs="Arial"/>
          <w:bCs/>
          <w:color w:val="000000"/>
          <w:kern w:val="0"/>
          <w:sz w:val="28"/>
          <w:szCs w:val="28"/>
        </w:rPr>
        <w:t>号）</w:t>
      </w: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报名方式：</w:t>
      </w:r>
    </w:p>
    <w:p>
      <w:pPr>
        <w:pStyle w:val="27"/>
        <w:adjustRightInd w:val="0"/>
        <w:snapToGrid w:val="0"/>
        <w:spacing w:line="360" w:lineRule="auto"/>
        <w:ind w:left="420" w:firstLine="0" w:firstLineChars="0"/>
        <w:rPr>
          <w:rFonts w:ascii="仿宋" w:hAnsi="仿宋" w:eastAsia="仿宋" w:cs="Arial"/>
          <w:bCs/>
          <w:sz w:val="28"/>
          <w:szCs w:val="28"/>
        </w:rPr>
      </w:pPr>
      <w:r>
        <w:rPr>
          <w:rFonts w:hint="eastAsia" w:ascii="仿宋" w:hAnsi="仿宋" w:eastAsia="仿宋" w:cs="Arial"/>
          <w:bCs/>
          <w:sz w:val="28"/>
          <w:szCs w:val="28"/>
        </w:rPr>
        <w:t>1、</w:t>
      </w:r>
      <w:r>
        <w:fldChar w:fldCharType="begin"/>
      </w:r>
      <w:r>
        <w:instrText xml:space="preserve"> HYPERLINK "mailto:填写报名回执表（附件2），并发送至邮箱2161211837@qq.com。" </w:instrText>
      </w:r>
      <w:r>
        <w:fldChar w:fldCharType="separate"/>
      </w:r>
      <w:r>
        <w:rPr>
          <w:rStyle w:val="12"/>
          <w:rFonts w:hint="eastAsia" w:ascii="仿宋" w:hAnsi="仿宋" w:eastAsia="仿宋" w:cs="Arial"/>
          <w:bCs/>
          <w:color w:val="auto"/>
          <w:sz w:val="28"/>
          <w:szCs w:val="28"/>
        </w:rPr>
        <w:t>填写报名回执表（附件1），发送至邮箱2161211837@qq.com。</w:t>
      </w:r>
      <w:r>
        <w:rPr>
          <w:rStyle w:val="12"/>
          <w:rFonts w:hint="eastAsia" w:ascii="仿宋" w:hAnsi="仿宋" w:eastAsia="仿宋" w:cs="Arial"/>
          <w:bCs/>
          <w:color w:val="auto"/>
          <w:sz w:val="28"/>
          <w:szCs w:val="28"/>
        </w:rPr>
        <w:fldChar w:fldCharType="end"/>
      </w:r>
    </w:p>
    <w:p>
      <w:pPr>
        <w:pStyle w:val="27"/>
        <w:adjustRightInd w:val="0"/>
        <w:snapToGrid w:val="0"/>
        <w:spacing w:line="360" w:lineRule="auto"/>
        <w:ind w:left="420" w:firstLine="0" w:firstLineChars="0"/>
        <w:rPr>
          <w:rFonts w:ascii="仿宋" w:hAnsi="仿宋" w:eastAsia="仿宋" w:cs="Arial"/>
          <w:bCs/>
          <w:color w:val="000000"/>
          <w:sz w:val="28"/>
          <w:szCs w:val="28"/>
          <w:lang w:eastAsia="zh-CN"/>
        </w:rPr>
      </w:pPr>
      <w:r>
        <w:rPr>
          <w:rFonts w:hint="eastAsia" w:ascii="仿宋" w:hAnsi="仿宋" w:eastAsia="仿宋" w:cs="Arial"/>
          <w:bCs/>
          <w:sz w:val="28"/>
          <w:szCs w:val="28"/>
          <w:lang w:eastAsia="zh-CN"/>
        </w:rPr>
        <w:t>2、本期培训不接受现场报名缴费，</w:t>
      </w:r>
      <w:r>
        <w:rPr>
          <w:rFonts w:hint="eastAsia" w:ascii="仿宋" w:hAnsi="仿宋" w:eastAsia="仿宋" w:cs="Arial"/>
          <w:bCs/>
          <w:color w:val="000000"/>
          <w:sz w:val="28"/>
          <w:szCs w:val="28"/>
          <w:lang w:eastAsia="zh-CN"/>
        </w:rPr>
        <w:t>报名以缴费先后顺序为准（缴费方式及开票信息填写见附件2），人数有限，报满即止。</w:t>
      </w:r>
    </w:p>
    <w:p>
      <w:pPr>
        <w:pStyle w:val="27"/>
        <w:adjustRightInd w:val="0"/>
        <w:snapToGrid w:val="0"/>
        <w:spacing w:line="360" w:lineRule="auto"/>
        <w:ind w:left="420" w:firstLine="0" w:firstLineChars="0"/>
        <w:rPr>
          <w:rFonts w:ascii="仿宋" w:hAnsi="仿宋" w:eastAsia="仿宋" w:cs="Arial"/>
          <w:bCs/>
          <w:color w:val="000000"/>
          <w:sz w:val="28"/>
          <w:szCs w:val="28"/>
          <w:lang w:eastAsia="zh-CN"/>
        </w:rPr>
      </w:pPr>
      <w:r>
        <w:rPr>
          <w:rFonts w:hint="eastAsia" w:ascii="仿宋" w:hAnsi="仿宋" w:eastAsia="仿宋" w:cs="Arial"/>
          <w:b/>
          <w:bCs/>
          <w:color w:val="000000"/>
          <w:sz w:val="28"/>
          <w:szCs w:val="28"/>
          <w:lang w:eastAsia="zh-CN"/>
        </w:rPr>
        <w:t>注：</w:t>
      </w:r>
      <w:r>
        <w:rPr>
          <w:rFonts w:ascii="仿宋" w:hAnsi="仿宋" w:eastAsia="仿宋" w:cs="Arial"/>
          <w:bCs/>
          <w:color w:val="000000"/>
          <w:sz w:val="28"/>
          <w:szCs w:val="28"/>
          <w:lang w:eastAsia="zh-CN"/>
        </w:rPr>
        <w:t xml:space="preserve"> </w:t>
      </w:r>
    </w:p>
    <w:p>
      <w:pPr>
        <w:pStyle w:val="27"/>
        <w:adjustRightInd w:val="0"/>
        <w:snapToGrid w:val="0"/>
        <w:spacing w:line="360" w:lineRule="auto"/>
        <w:ind w:left="420" w:firstLine="0" w:firstLineChars="0"/>
        <w:rPr>
          <w:rFonts w:ascii="仿宋" w:hAnsi="仿宋" w:eastAsia="仿宋" w:cs="Arial"/>
          <w:b/>
          <w:bCs/>
          <w:color w:val="000000"/>
          <w:sz w:val="28"/>
          <w:szCs w:val="28"/>
          <w:lang w:eastAsia="zh-CN"/>
        </w:rPr>
      </w:pPr>
      <w:r>
        <w:rPr>
          <w:rFonts w:hint="eastAsia" w:ascii="仿宋" w:hAnsi="仿宋" w:eastAsia="仿宋" w:cs="Arial"/>
          <w:bCs/>
          <w:color w:val="000000"/>
          <w:sz w:val="28"/>
          <w:szCs w:val="28"/>
          <w:lang w:eastAsia="zh-CN"/>
        </w:rPr>
        <w:t>1、首次参加培训的学员，报到当天携带2张2寸彩色登记照和身份证正反复印件1份。</w:t>
      </w:r>
    </w:p>
    <w:p>
      <w:pPr>
        <w:pStyle w:val="27"/>
        <w:adjustRightInd w:val="0"/>
        <w:snapToGrid w:val="0"/>
        <w:spacing w:line="360" w:lineRule="auto"/>
        <w:ind w:left="420" w:firstLine="0" w:firstLineChars="0"/>
        <w:rPr>
          <w:rFonts w:ascii="仿宋" w:hAnsi="仿宋" w:eastAsia="仿宋" w:cs="Arial"/>
          <w:bCs/>
          <w:sz w:val="28"/>
          <w:szCs w:val="28"/>
          <w:lang w:eastAsia="zh-CN"/>
        </w:rPr>
      </w:pPr>
      <w:r>
        <w:rPr>
          <w:rFonts w:hint="eastAsia" w:ascii="仿宋" w:hAnsi="仿宋" w:eastAsia="仿宋" w:cs="Arial"/>
          <w:bCs/>
          <w:sz w:val="28"/>
          <w:szCs w:val="28"/>
          <w:lang w:eastAsia="zh-CN"/>
        </w:rPr>
        <w:t>2、参加过历届培训班的学员，报到当天携带《建设工程质量检测继续教育证》和1张</w:t>
      </w:r>
      <w:r>
        <w:rPr>
          <w:rFonts w:hint="eastAsia" w:ascii="仿宋" w:hAnsi="仿宋" w:eastAsia="仿宋" w:cs="Arial"/>
          <w:bCs/>
          <w:color w:val="000000"/>
          <w:sz w:val="28"/>
          <w:szCs w:val="28"/>
          <w:lang w:eastAsia="zh-CN"/>
        </w:rPr>
        <w:t>2寸彩色登记照</w:t>
      </w:r>
      <w:r>
        <w:rPr>
          <w:rFonts w:hint="eastAsia" w:ascii="仿宋" w:hAnsi="仿宋" w:eastAsia="仿宋" w:cs="Arial"/>
          <w:bCs/>
          <w:sz w:val="28"/>
          <w:szCs w:val="28"/>
          <w:lang w:eastAsia="zh-CN"/>
        </w:rPr>
        <w:t>。</w:t>
      </w:r>
    </w:p>
    <w:p>
      <w:pPr>
        <w:adjustRightInd w:val="0"/>
        <w:snapToGrid w:val="0"/>
        <w:spacing w:line="360" w:lineRule="auto"/>
        <w:ind w:left="420"/>
        <w:jc w:val="left"/>
        <w:rPr>
          <w:rFonts w:ascii="仿宋" w:hAnsi="仿宋" w:eastAsia="仿宋" w:cs="Arial"/>
          <w:b/>
          <w:color w:val="000000"/>
          <w:kern w:val="0"/>
          <w:sz w:val="28"/>
          <w:szCs w:val="28"/>
        </w:rPr>
      </w:pPr>
    </w:p>
    <w:p>
      <w:pPr>
        <w:numPr>
          <w:ilvl w:val="0"/>
          <w:numId w:val="1"/>
        </w:numPr>
        <w:adjustRightInd w:val="0"/>
        <w:snapToGrid w:val="0"/>
        <w:spacing w:line="360" w:lineRule="auto"/>
        <w:jc w:val="left"/>
        <w:rPr>
          <w:rFonts w:ascii="仿宋" w:hAnsi="仿宋" w:eastAsia="仿宋" w:cs="Arial"/>
          <w:b/>
          <w:color w:val="000000"/>
          <w:kern w:val="0"/>
          <w:sz w:val="28"/>
          <w:szCs w:val="28"/>
        </w:rPr>
      </w:pPr>
      <w:r>
        <w:rPr>
          <w:rFonts w:hint="eastAsia" w:ascii="仿宋" w:hAnsi="仿宋" w:eastAsia="仿宋" w:cs="Arial"/>
          <w:b/>
          <w:color w:val="000000"/>
          <w:kern w:val="0"/>
          <w:sz w:val="28"/>
          <w:szCs w:val="28"/>
        </w:rPr>
        <w:t>联系方式：</w:t>
      </w:r>
    </w:p>
    <w:p>
      <w:pPr>
        <w:widowControl/>
        <w:adjustRightInd w:val="0"/>
        <w:snapToGrid w:val="0"/>
        <w:spacing w:line="400" w:lineRule="exact"/>
        <w:ind w:firstLine="627" w:firstLineChars="224"/>
        <w:jc w:val="left"/>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联系人：石老师18071138869（微信同号）    QQ：2161211837</w:t>
      </w: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44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附件1：报名登记回执表(工程材料3期）</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附件2：发票开具确认单</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附件3：住宿酒店预订</w:t>
      </w:r>
    </w:p>
    <w:p>
      <w:pPr>
        <w:tabs>
          <w:tab w:val="left" w:pos="5580"/>
        </w:tabs>
        <w:adjustRightInd w:val="0"/>
        <w:snapToGrid w:val="0"/>
        <w:spacing w:line="440" w:lineRule="exact"/>
        <w:ind w:firstLine="560" w:firstLineChars="200"/>
        <w:rPr>
          <w:rFonts w:ascii="仿宋" w:hAnsi="仿宋" w:eastAsia="仿宋" w:cs="仿宋"/>
          <w:color w:val="000000"/>
          <w:kern w:val="0"/>
          <w:sz w:val="28"/>
          <w:szCs w:val="28"/>
        </w:rPr>
      </w:pPr>
    </w:p>
    <w:p>
      <w:pPr>
        <w:widowControl/>
        <w:adjustRightInd w:val="0"/>
        <w:snapToGrid w:val="0"/>
        <w:spacing w:line="360" w:lineRule="auto"/>
        <w:jc w:val="left"/>
        <w:rPr>
          <w:rFonts w:ascii="仿宋" w:hAnsi="仿宋" w:eastAsia="仿宋" w:cs="Arial"/>
          <w:bCs/>
          <w:color w:val="000000"/>
          <w:kern w:val="0"/>
          <w:sz w:val="28"/>
          <w:szCs w:val="28"/>
        </w:rPr>
      </w:pPr>
    </w:p>
    <w:p>
      <w:pPr>
        <w:widowControl/>
        <w:adjustRightInd w:val="0"/>
        <w:snapToGrid w:val="0"/>
        <w:spacing w:line="360" w:lineRule="auto"/>
        <w:jc w:val="right"/>
        <w:rPr>
          <w:rFonts w:ascii="仿宋" w:hAnsi="仿宋" w:eastAsia="仿宋" w:cs="Arial"/>
          <w:bCs/>
          <w:color w:val="000000"/>
          <w:kern w:val="0"/>
          <w:sz w:val="28"/>
          <w:szCs w:val="28"/>
        </w:rPr>
      </w:pPr>
    </w:p>
    <w:p>
      <w:pPr>
        <w:widowControl/>
        <w:adjustRightInd w:val="0"/>
        <w:snapToGrid w:val="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中国科学院武汉分院继续教育学院</w:t>
      </w:r>
    </w:p>
    <w:p>
      <w:pPr>
        <w:tabs>
          <w:tab w:val="left" w:pos="5580"/>
        </w:tabs>
        <w:adjustRightInd w:val="0"/>
        <w:snapToGrid w:val="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中国科学院武汉岩土力学研究所</w:t>
      </w:r>
    </w:p>
    <w:p>
      <w:pPr>
        <w:tabs>
          <w:tab w:val="left" w:pos="5580"/>
        </w:tabs>
        <w:adjustRightInd w:val="0"/>
        <w:snapToGrid w:val="0"/>
        <w:ind w:right="84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武汉建筑业协会</w:t>
      </w:r>
    </w:p>
    <w:p>
      <w:pPr>
        <w:tabs>
          <w:tab w:val="left" w:pos="5580"/>
        </w:tabs>
        <w:adjustRightInd w:val="0"/>
        <w:snapToGrid w:val="0"/>
        <w:ind w:right="56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武汉铁路桥梁职业学院</w:t>
      </w:r>
    </w:p>
    <w:p>
      <w:pPr>
        <w:widowControl/>
        <w:adjustRightInd w:val="0"/>
        <w:snapToGrid w:val="0"/>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武汉中科岩土工程技术培训有限公司</w:t>
      </w:r>
    </w:p>
    <w:p>
      <w:pPr>
        <w:widowControl/>
        <w:wordWrap w:val="0"/>
        <w:adjustRightInd w:val="0"/>
        <w:snapToGrid w:val="0"/>
        <w:spacing w:line="360" w:lineRule="auto"/>
        <w:jc w:val="right"/>
        <w:rPr>
          <w:rFonts w:ascii="仿宋" w:hAnsi="仿宋" w:eastAsia="仿宋" w:cs="Arial"/>
          <w:bCs/>
          <w:color w:val="000000"/>
          <w:kern w:val="0"/>
          <w:sz w:val="28"/>
          <w:szCs w:val="28"/>
        </w:rPr>
      </w:pPr>
    </w:p>
    <w:p>
      <w:pPr>
        <w:widowControl/>
        <w:adjustRightInd w:val="0"/>
        <w:snapToGrid w:val="0"/>
        <w:spacing w:line="360" w:lineRule="auto"/>
        <w:jc w:val="righ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 xml:space="preserve">二〇一九年三月一日      </w:t>
      </w:r>
    </w:p>
    <w:p>
      <w:pPr>
        <w:widowControl/>
        <w:adjustRightInd w:val="0"/>
        <w:snapToGrid w:val="0"/>
        <w:spacing w:line="360" w:lineRule="auto"/>
        <w:jc w:val="left"/>
        <w:rPr>
          <w:rFonts w:ascii="仿宋" w:hAnsi="仿宋" w:eastAsia="仿宋" w:cs="Arial"/>
          <w:bCs/>
          <w:color w:val="000000"/>
          <w:kern w:val="0"/>
          <w:sz w:val="28"/>
          <w:szCs w:val="28"/>
        </w:rPr>
      </w:pPr>
    </w:p>
    <w:p>
      <w:pPr>
        <w:tabs>
          <w:tab w:val="left" w:pos="5580"/>
        </w:tabs>
        <w:adjustRightInd w:val="0"/>
        <w:snapToGrid w:val="0"/>
        <w:spacing w:line="400" w:lineRule="exact"/>
        <w:jc w:val="right"/>
        <w:rPr>
          <w:rFonts w:ascii="仿宋" w:hAnsi="仿宋" w:eastAsia="仿宋" w:cs="Arial"/>
          <w:color w:val="000000"/>
          <w:kern w:val="0"/>
          <w:sz w:val="28"/>
          <w:szCs w:val="32"/>
        </w:rPr>
      </w:pPr>
    </w:p>
    <w:p>
      <w:pPr>
        <w:tabs>
          <w:tab w:val="left" w:pos="5580"/>
        </w:tabs>
        <w:wordWrap w:val="0"/>
        <w:adjustRightInd w:val="0"/>
        <w:snapToGrid w:val="0"/>
        <w:spacing w:line="400" w:lineRule="exact"/>
        <w:rPr>
          <w:rFonts w:ascii="仿宋" w:hAnsi="仿宋" w:eastAsia="仿宋" w:cs="Arial"/>
          <w:bCs/>
          <w:color w:val="000000"/>
          <w:kern w:val="0"/>
          <w:sz w:val="28"/>
          <w:szCs w:val="28"/>
        </w:rPr>
        <w:sectPr>
          <w:headerReference r:id="rId5" w:type="default"/>
          <w:footerReference r:id="rId6" w:type="default"/>
          <w:type w:val="continuous"/>
          <w:pgSz w:w="11906" w:h="16838"/>
          <w:pgMar w:top="1440" w:right="1080" w:bottom="1440" w:left="1080" w:header="851" w:footer="992" w:gutter="0"/>
          <w:cols w:space="720" w:num="1"/>
          <w:docGrid w:type="linesAndChars" w:linePitch="312" w:charSpace="0"/>
        </w:sectPr>
      </w:pPr>
    </w:p>
    <w:p>
      <w:pPr>
        <w:rPr>
          <w:rFonts w:ascii="仿宋" w:hAnsi="仿宋" w:eastAsia="仿宋"/>
          <w:b/>
          <w:color w:val="000000"/>
          <w:sz w:val="32"/>
          <w:szCs w:val="32"/>
        </w:rPr>
      </w:pPr>
      <w:r>
        <w:rPr>
          <w:rFonts w:hint="eastAsia" w:ascii="仿宋" w:hAnsi="仿宋" w:eastAsia="仿宋"/>
          <w:b/>
          <w:color w:val="000000"/>
          <w:sz w:val="28"/>
          <w:szCs w:val="28"/>
        </w:rPr>
        <w:t>附件1：</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报名登记回执表(工程材料3期）</w:t>
      </w:r>
    </w:p>
    <w:tbl>
      <w:tblPr>
        <w:tblStyle w:val="14"/>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813"/>
        <w:gridCol w:w="3307"/>
        <w:gridCol w:w="1427"/>
        <w:gridCol w:w="1106"/>
        <w:gridCol w:w="1520"/>
        <w:gridCol w:w="173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8173" w:type="dxa"/>
            <w:gridSpan w:val="5"/>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8173" w:type="dxa"/>
            <w:gridSpan w:val="5"/>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姓名</w:t>
            </w:r>
          </w:p>
        </w:tc>
        <w:tc>
          <w:tcPr>
            <w:tcW w:w="813"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性别</w:t>
            </w:r>
          </w:p>
        </w:tc>
        <w:tc>
          <w:tcPr>
            <w:tcW w:w="3307"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联系电话</w:t>
            </w:r>
          </w:p>
        </w:tc>
        <w:tc>
          <w:tcPr>
            <w:tcW w:w="1427"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从事检测</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工作年限</w:t>
            </w:r>
          </w:p>
        </w:tc>
        <w:tc>
          <w:tcPr>
            <w:tcW w:w="1106"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职务</w:t>
            </w:r>
          </w:p>
        </w:tc>
        <w:tc>
          <w:tcPr>
            <w:tcW w:w="1520"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技术职称</w:t>
            </w:r>
          </w:p>
        </w:tc>
        <w:tc>
          <w:tcPr>
            <w:tcW w:w="1734" w:type="dxa"/>
            <w:vAlign w:val="center"/>
          </w:tcPr>
          <w:p>
            <w:pPr>
              <w:snapToGrid w:val="0"/>
              <w:spacing w:line="360" w:lineRule="auto"/>
              <w:jc w:val="center"/>
              <w:rPr>
                <w:rFonts w:ascii="仿宋" w:hAnsi="仿宋" w:eastAsia="仿宋"/>
                <w:sz w:val="28"/>
                <w:szCs w:val="28"/>
              </w:rPr>
            </w:pPr>
            <w:r>
              <w:rPr>
                <w:rFonts w:ascii="仿宋" w:hAnsi="仿宋" w:eastAsia="仿宋"/>
                <w:b/>
                <w:sz w:val="28"/>
                <w:szCs w:val="28"/>
              </w:rPr>
              <w:t>QQ/</w:t>
            </w:r>
            <w:r>
              <w:rPr>
                <w:rFonts w:hint="eastAsia" w:ascii="仿宋" w:hAnsi="仿宋" w:eastAsia="仿宋"/>
                <w:b/>
                <w:sz w:val="28"/>
                <w:szCs w:val="28"/>
              </w:rPr>
              <w:t>邮箱</w:t>
            </w:r>
          </w:p>
        </w:tc>
        <w:tc>
          <w:tcPr>
            <w:tcW w:w="3119" w:type="dxa"/>
            <w:vAlign w:val="center"/>
          </w:tcPr>
          <w:p>
            <w:pPr>
              <w:snapToGrid w:val="0"/>
              <w:spacing w:line="360" w:lineRule="auto"/>
              <w:jc w:val="center"/>
              <w:rPr>
                <w:rFonts w:ascii="仿宋" w:hAnsi="仿宋" w:eastAsia="仿宋"/>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28"/>
                <w:szCs w:val="28"/>
              </w:rPr>
            </w:pPr>
          </w:p>
        </w:tc>
        <w:tc>
          <w:tcPr>
            <w:tcW w:w="813" w:type="dxa"/>
            <w:vAlign w:val="center"/>
          </w:tcPr>
          <w:p>
            <w:pPr>
              <w:snapToGrid w:val="0"/>
              <w:spacing w:line="360" w:lineRule="auto"/>
              <w:jc w:val="center"/>
              <w:rPr>
                <w:rFonts w:ascii="仿宋" w:hAnsi="仿宋" w:eastAsia="仿宋"/>
                <w:sz w:val="28"/>
                <w:szCs w:val="28"/>
              </w:rPr>
            </w:pPr>
          </w:p>
        </w:tc>
        <w:tc>
          <w:tcPr>
            <w:tcW w:w="3307" w:type="dxa"/>
            <w:vAlign w:val="center"/>
          </w:tcPr>
          <w:p>
            <w:pPr>
              <w:snapToGrid w:val="0"/>
              <w:spacing w:line="360" w:lineRule="auto"/>
              <w:jc w:val="center"/>
              <w:rPr>
                <w:rFonts w:ascii="仿宋" w:hAnsi="仿宋" w:eastAsia="仿宋"/>
                <w:sz w:val="28"/>
                <w:szCs w:val="28"/>
              </w:rPr>
            </w:pPr>
          </w:p>
        </w:tc>
        <w:tc>
          <w:tcPr>
            <w:tcW w:w="1427" w:type="dxa"/>
            <w:vAlign w:val="center"/>
          </w:tcPr>
          <w:p>
            <w:pPr>
              <w:snapToGrid w:val="0"/>
              <w:spacing w:line="360" w:lineRule="auto"/>
              <w:jc w:val="center"/>
              <w:rPr>
                <w:rFonts w:ascii="仿宋" w:hAnsi="仿宋" w:eastAsia="仿宋"/>
                <w:sz w:val="28"/>
                <w:szCs w:val="28"/>
              </w:rPr>
            </w:pPr>
          </w:p>
        </w:tc>
        <w:tc>
          <w:tcPr>
            <w:tcW w:w="1106" w:type="dxa"/>
            <w:vAlign w:val="center"/>
          </w:tcPr>
          <w:p>
            <w:pPr>
              <w:snapToGrid w:val="0"/>
              <w:spacing w:line="360" w:lineRule="auto"/>
              <w:jc w:val="center"/>
              <w:rPr>
                <w:rFonts w:ascii="仿宋" w:hAnsi="仿宋" w:eastAsia="仿宋"/>
                <w:sz w:val="28"/>
                <w:szCs w:val="28"/>
              </w:rPr>
            </w:pPr>
          </w:p>
        </w:tc>
        <w:tc>
          <w:tcPr>
            <w:tcW w:w="1520" w:type="dxa"/>
            <w:vAlign w:val="center"/>
          </w:tcPr>
          <w:p>
            <w:pPr>
              <w:snapToGrid w:val="0"/>
              <w:spacing w:line="360" w:lineRule="auto"/>
              <w:jc w:val="center"/>
              <w:rPr>
                <w:rFonts w:ascii="仿宋" w:hAnsi="仿宋" w:eastAsia="仿宋"/>
                <w:sz w:val="28"/>
                <w:szCs w:val="28"/>
              </w:rPr>
            </w:pPr>
          </w:p>
        </w:tc>
        <w:tc>
          <w:tcPr>
            <w:tcW w:w="1734" w:type="dxa"/>
            <w:vAlign w:val="center"/>
          </w:tcPr>
          <w:p>
            <w:pPr>
              <w:snapToGrid w:val="0"/>
              <w:spacing w:line="360" w:lineRule="auto"/>
              <w:jc w:val="center"/>
              <w:rPr>
                <w:rFonts w:ascii="仿宋" w:hAnsi="仿宋" w:eastAsia="仿宋"/>
                <w:sz w:val="28"/>
                <w:szCs w:val="28"/>
              </w:rPr>
            </w:pPr>
          </w:p>
        </w:tc>
        <w:tc>
          <w:tcPr>
            <w:tcW w:w="3119"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3307" w:type="dxa"/>
            <w:vAlign w:val="center"/>
          </w:tcPr>
          <w:p>
            <w:pPr>
              <w:snapToGrid w:val="0"/>
              <w:spacing w:line="360" w:lineRule="auto"/>
              <w:jc w:val="center"/>
              <w:rPr>
                <w:rFonts w:ascii="仿宋" w:hAnsi="仿宋" w:eastAsia="仿宋"/>
                <w:sz w:val="30"/>
                <w:szCs w:val="30"/>
              </w:rPr>
            </w:pPr>
          </w:p>
        </w:tc>
        <w:tc>
          <w:tcPr>
            <w:tcW w:w="1427" w:type="dxa"/>
            <w:vAlign w:val="center"/>
          </w:tcPr>
          <w:p>
            <w:pPr>
              <w:snapToGrid w:val="0"/>
              <w:spacing w:line="360" w:lineRule="auto"/>
              <w:jc w:val="center"/>
              <w:rPr>
                <w:rFonts w:ascii="仿宋" w:hAnsi="仿宋" w:eastAsia="仿宋"/>
                <w:sz w:val="30"/>
                <w:szCs w:val="30"/>
              </w:rPr>
            </w:pPr>
          </w:p>
        </w:tc>
        <w:tc>
          <w:tcPr>
            <w:tcW w:w="1106" w:type="dxa"/>
            <w:vAlign w:val="center"/>
          </w:tcPr>
          <w:p>
            <w:pPr>
              <w:snapToGrid w:val="0"/>
              <w:spacing w:line="360" w:lineRule="auto"/>
              <w:jc w:val="center"/>
              <w:rPr>
                <w:rFonts w:ascii="仿宋" w:hAnsi="仿宋" w:eastAsia="仿宋"/>
                <w:sz w:val="30"/>
                <w:szCs w:val="30"/>
              </w:rPr>
            </w:pPr>
          </w:p>
        </w:tc>
        <w:tc>
          <w:tcPr>
            <w:tcW w:w="1520" w:type="dxa"/>
            <w:vAlign w:val="center"/>
          </w:tcPr>
          <w:p>
            <w:pPr>
              <w:snapToGrid w:val="0"/>
              <w:spacing w:line="360" w:lineRule="auto"/>
              <w:jc w:val="center"/>
              <w:rPr>
                <w:rFonts w:ascii="仿宋" w:hAnsi="仿宋" w:eastAsia="仿宋"/>
                <w:sz w:val="30"/>
                <w:szCs w:val="30"/>
              </w:rPr>
            </w:pPr>
          </w:p>
        </w:tc>
        <w:tc>
          <w:tcPr>
            <w:tcW w:w="1734" w:type="dxa"/>
            <w:vAlign w:val="center"/>
          </w:tcPr>
          <w:p>
            <w:pPr>
              <w:snapToGrid w:val="0"/>
              <w:spacing w:line="360" w:lineRule="auto"/>
              <w:jc w:val="center"/>
              <w:rPr>
                <w:rFonts w:ascii="仿宋" w:hAnsi="仿宋" w:eastAsia="仿宋"/>
                <w:sz w:val="30"/>
                <w:szCs w:val="30"/>
              </w:rPr>
            </w:pPr>
          </w:p>
        </w:tc>
        <w:tc>
          <w:tcPr>
            <w:tcW w:w="3119" w:type="dxa"/>
            <w:vAlign w:val="center"/>
          </w:tcPr>
          <w:p>
            <w:pPr>
              <w:snapToGrid w:val="0"/>
              <w:spacing w:line="360" w:lineRule="auto"/>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61" w:type="dxa"/>
            <w:vAlign w:val="center"/>
          </w:tcPr>
          <w:p>
            <w:pPr>
              <w:snapToGrid w:val="0"/>
              <w:spacing w:line="360" w:lineRule="auto"/>
              <w:jc w:val="center"/>
              <w:rPr>
                <w:rFonts w:ascii="仿宋" w:hAnsi="仿宋" w:eastAsia="仿宋"/>
                <w:sz w:val="30"/>
                <w:szCs w:val="30"/>
              </w:rPr>
            </w:pPr>
          </w:p>
        </w:tc>
        <w:tc>
          <w:tcPr>
            <w:tcW w:w="813" w:type="dxa"/>
            <w:vAlign w:val="center"/>
          </w:tcPr>
          <w:p>
            <w:pPr>
              <w:snapToGrid w:val="0"/>
              <w:spacing w:line="360" w:lineRule="auto"/>
              <w:jc w:val="center"/>
              <w:rPr>
                <w:rFonts w:ascii="仿宋" w:hAnsi="仿宋" w:eastAsia="仿宋"/>
                <w:sz w:val="30"/>
                <w:szCs w:val="30"/>
              </w:rPr>
            </w:pPr>
          </w:p>
        </w:tc>
        <w:tc>
          <w:tcPr>
            <w:tcW w:w="3307" w:type="dxa"/>
            <w:vAlign w:val="center"/>
          </w:tcPr>
          <w:p>
            <w:pPr>
              <w:snapToGrid w:val="0"/>
              <w:spacing w:line="360" w:lineRule="auto"/>
              <w:jc w:val="center"/>
              <w:rPr>
                <w:rFonts w:ascii="仿宋" w:hAnsi="仿宋" w:eastAsia="仿宋"/>
                <w:sz w:val="30"/>
                <w:szCs w:val="30"/>
              </w:rPr>
            </w:pPr>
          </w:p>
        </w:tc>
        <w:tc>
          <w:tcPr>
            <w:tcW w:w="1427" w:type="dxa"/>
            <w:vAlign w:val="center"/>
          </w:tcPr>
          <w:p>
            <w:pPr>
              <w:snapToGrid w:val="0"/>
              <w:spacing w:line="360" w:lineRule="auto"/>
              <w:jc w:val="center"/>
              <w:rPr>
                <w:rFonts w:ascii="仿宋" w:hAnsi="仿宋" w:eastAsia="仿宋"/>
                <w:sz w:val="30"/>
                <w:szCs w:val="30"/>
              </w:rPr>
            </w:pPr>
          </w:p>
        </w:tc>
        <w:tc>
          <w:tcPr>
            <w:tcW w:w="1106" w:type="dxa"/>
            <w:vAlign w:val="center"/>
          </w:tcPr>
          <w:p>
            <w:pPr>
              <w:snapToGrid w:val="0"/>
              <w:spacing w:line="360" w:lineRule="auto"/>
              <w:jc w:val="center"/>
              <w:rPr>
                <w:rFonts w:ascii="仿宋" w:hAnsi="仿宋" w:eastAsia="仿宋"/>
                <w:sz w:val="30"/>
                <w:szCs w:val="30"/>
              </w:rPr>
            </w:pPr>
          </w:p>
        </w:tc>
        <w:tc>
          <w:tcPr>
            <w:tcW w:w="1520" w:type="dxa"/>
            <w:vAlign w:val="center"/>
          </w:tcPr>
          <w:p>
            <w:pPr>
              <w:snapToGrid w:val="0"/>
              <w:spacing w:line="360" w:lineRule="auto"/>
              <w:jc w:val="center"/>
              <w:rPr>
                <w:rFonts w:ascii="仿宋" w:hAnsi="仿宋" w:eastAsia="仿宋"/>
                <w:sz w:val="30"/>
                <w:szCs w:val="30"/>
              </w:rPr>
            </w:pPr>
          </w:p>
        </w:tc>
        <w:tc>
          <w:tcPr>
            <w:tcW w:w="1734" w:type="dxa"/>
            <w:vAlign w:val="center"/>
          </w:tcPr>
          <w:p>
            <w:pPr>
              <w:snapToGrid w:val="0"/>
              <w:spacing w:line="360" w:lineRule="auto"/>
              <w:jc w:val="center"/>
              <w:rPr>
                <w:rFonts w:ascii="仿宋" w:hAnsi="仿宋" w:eastAsia="仿宋"/>
                <w:sz w:val="30"/>
                <w:szCs w:val="30"/>
              </w:rPr>
            </w:pPr>
          </w:p>
        </w:tc>
        <w:tc>
          <w:tcPr>
            <w:tcW w:w="3119" w:type="dxa"/>
            <w:vAlign w:val="center"/>
          </w:tcPr>
          <w:p>
            <w:pPr>
              <w:snapToGrid w:val="0"/>
              <w:spacing w:line="360" w:lineRule="auto"/>
              <w:jc w:val="center"/>
              <w:rPr>
                <w:rFonts w:ascii="仿宋" w:hAnsi="仿宋" w:eastAsia="仿宋"/>
                <w:sz w:val="30"/>
                <w:szCs w:val="30"/>
              </w:rPr>
            </w:pPr>
          </w:p>
        </w:tc>
      </w:tr>
    </w:tbl>
    <w:p>
      <w:pPr>
        <w:adjustRightInd w:val="0"/>
        <w:snapToGrid w:val="0"/>
        <w:spacing w:line="360" w:lineRule="auto"/>
        <w:jc w:val="center"/>
        <w:rPr>
          <w:rFonts w:ascii="仿宋" w:hAnsi="仿宋" w:eastAsia="仿宋"/>
          <w:b/>
          <w:color w:val="000000"/>
          <w:sz w:val="32"/>
          <w:szCs w:val="32"/>
        </w:rPr>
      </w:pPr>
    </w:p>
    <w:p>
      <w:pPr>
        <w:rPr>
          <w:rFonts w:ascii="仿宋" w:hAnsi="仿宋" w:eastAsia="仿宋"/>
          <w:b/>
          <w:color w:val="000000"/>
          <w:sz w:val="28"/>
          <w:szCs w:val="28"/>
        </w:rPr>
      </w:pPr>
      <w:r>
        <w:rPr>
          <w:rFonts w:hint="eastAsia" w:ascii="仿宋" w:hAnsi="仿宋" w:eastAsia="仿宋"/>
          <w:b/>
          <w:color w:val="000000"/>
          <w:sz w:val="28"/>
          <w:szCs w:val="28"/>
        </w:rPr>
        <w:t>附件2：</w:t>
      </w:r>
    </w:p>
    <w:p>
      <w:pPr>
        <w:widowControl/>
        <w:adjustRightInd w:val="0"/>
        <w:snapToGrid w:val="0"/>
        <w:spacing w:beforeLines="50" w:line="360" w:lineRule="auto"/>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tbl>
      <w:tblPr>
        <w:tblStyle w:val="14"/>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shd w:val="clear" w:color="auto" w:fill="auto"/>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shd w:val="clear" w:color="auto" w:fill="auto"/>
            <w:vAlign w:val="center"/>
          </w:tc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shd w:val="clear" w:color="auto" w:fill="auto"/>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shd w:val="clear" w:color="auto" w:fill="auto"/>
            <w:vAlign w:val="center"/>
          </w:tcPr>
          <w:p>
            <w:pPr>
              <w:spacing w:line="360" w:lineRule="exact"/>
              <w:jc w:val="center"/>
              <w:rPr>
                <w:rFonts w:ascii="仿宋" w:hAnsi="仿宋" w:eastAsia="仿宋"/>
                <w:sz w:val="28"/>
                <w:szCs w:val="28"/>
              </w:rPr>
            </w:pPr>
          </w:p>
        </w:tc>
        <w:tc>
          <w:tcPr>
            <w:tcW w:w="2202"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shd w:val="clear" w:color="auto" w:fill="auto"/>
            <w:vAlign w:val="center"/>
          </w:tcPr>
          <w:p>
            <w:pPr>
              <w:spacing w:line="360" w:lineRule="exact"/>
              <w:jc w:val="center"/>
              <w:rPr>
                <w:rFonts w:ascii="仿宋" w:hAnsi="仿宋" w:eastAsia="仿宋"/>
                <w:sz w:val="28"/>
                <w:szCs w:val="28"/>
              </w:rPr>
            </w:pPr>
          </w:p>
        </w:tc>
      </w:tr>
    </w:tbl>
    <w:p>
      <w:pPr>
        <w:widowControl/>
        <w:numPr>
          <w:ilvl w:val="0"/>
          <w:numId w:val="2"/>
        </w:numPr>
        <w:adjustRightInd w:val="0"/>
        <w:snapToGrid w:val="0"/>
        <w:spacing w:line="360" w:lineRule="auto"/>
        <w:jc w:val="left"/>
        <w:rPr>
          <w:rFonts w:ascii="仿宋" w:hAnsi="仿宋" w:eastAsia="仿宋" w:cs="Arial"/>
          <w:bCs/>
          <w:kern w:val="0"/>
          <w:sz w:val="28"/>
          <w:szCs w:val="28"/>
        </w:rPr>
        <w:sectPr>
          <w:headerReference r:id="rId7" w:type="default"/>
          <w:footerReference r:id="rId8" w:type="default"/>
          <w:pgSz w:w="16838" w:h="11906" w:orient="landscape"/>
          <w:pgMar w:top="1440" w:right="1080" w:bottom="1440" w:left="1080" w:header="851" w:footer="992" w:gutter="0"/>
          <w:cols w:space="720" w:num="1"/>
          <w:docGrid w:type="linesAndChars" w:linePitch="312" w:charSpace="0"/>
        </w:sectPr>
      </w:pP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2"/>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汇款账号：</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开户行：中信银行武汉分行东湖支行</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单  位：武汉中科岩土工程技术培训有限公司</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账  号：8111501013000423011</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行  号：302521038110（电汇）</w:t>
      </w:r>
    </w:p>
    <w:p>
      <w:pPr>
        <w:widowControl/>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kern w:val="0"/>
          <w:sz w:val="28"/>
          <w:szCs w:val="28"/>
        </w:rPr>
        <w:t>清算行号：216178（支票）</w:t>
      </w:r>
    </w:p>
    <w:p>
      <w:pPr>
        <w:widowControl/>
        <w:adjustRightInd w:val="0"/>
        <w:snapToGrid w:val="0"/>
        <w:spacing w:line="360" w:lineRule="auto"/>
        <w:jc w:val="left"/>
        <w:rPr>
          <w:rFonts w:ascii="仿宋" w:hAnsi="仿宋" w:eastAsia="仿宋" w:cs="Arial"/>
          <w:bCs/>
          <w:kern w:val="0"/>
          <w:sz w:val="28"/>
          <w:szCs w:val="28"/>
        </w:rPr>
      </w:pPr>
    </w:p>
    <w:p>
      <w:pPr>
        <w:widowControl/>
        <w:numPr>
          <w:ilvl w:val="0"/>
          <w:numId w:val="2"/>
        </w:numPr>
        <w:adjustRightInd w:val="0"/>
        <w:snapToGrid w:val="0"/>
        <w:spacing w:line="360" w:lineRule="auto"/>
        <w:jc w:val="left"/>
        <w:rPr>
          <w:rFonts w:ascii="仿宋" w:hAnsi="仿宋" w:eastAsia="仿宋" w:cs="Arial"/>
          <w:bCs/>
          <w:kern w:val="0"/>
          <w:sz w:val="28"/>
          <w:szCs w:val="28"/>
        </w:rPr>
      </w:pPr>
      <w:r>
        <w:rPr>
          <w:rFonts w:hint="eastAsia" w:ascii="仿宋" w:hAnsi="仿宋" w:eastAsia="仿宋" w:cs="Arial"/>
          <w:bCs/>
          <w:color w:val="000000"/>
          <w:kern w:val="0"/>
          <w:sz w:val="28"/>
          <w:szCs w:val="28"/>
        </w:rPr>
        <w:drawing>
          <wp:anchor distT="0" distB="0" distL="114935" distR="114935" simplePos="0" relativeHeight="251695104"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6" name="图片 6"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2206858574970126"/>
                    <pic:cNvPicPr>
                      <a:picLocks noChangeAspect="1"/>
                    </pic:cNvPicPr>
                  </pic:nvPicPr>
                  <pic:blipFill>
                    <a:blip r:embed="rId11"/>
                    <a:srcRect l="17891" t="32865" r="18054" b="25181"/>
                    <a:stretch>
                      <a:fillRect/>
                    </a:stretch>
                  </pic:blipFill>
                  <pic:spPr>
                    <a:xfrm>
                      <a:off x="0" y="0"/>
                      <a:ext cx="1763395" cy="1753235"/>
                    </a:xfrm>
                    <a:prstGeom prst="rect">
                      <a:avLst/>
                    </a:prstGeom>
                  </pic:spPr>
                </pic:pic>
              </a:graphicData>
            </a:graphic>
          </wp:anchor>
        </w:drawing>
      </w:r>
      <w:r>
        <w:rPr>
          <w:rFonts w:hint="eastAsia" w:ascii="仿宋" w:hAnsi="仿宋" w:eastAsia="仿宋" w:cs="Arial"/>
          <w:bCs/>
          <w:color w:val="000000"/>
          <w:kern w:val="0"/>
          <w:sz w:val="28"/>
          <w:szCs w:val="28"/>
        </w:rPr>
        <w:t xml:space="preserve">支付宝收款账号： </w:t>
      </w:r>
    </w:p>
    <w:p>
      <w:pPr>
        <w:widowControl/>
        <w:adjustRightInd w:val="0"/>
        <w:snapToGrid w:val="0"/>
        <w:spacing w:line="360" w:lineRule="auto"/>
        <w:ind w:firstLine="630" w:firstLineChars="300"/>
        <w:jc w:val="left"/>
        <w:rPr>
          <w:rFonts w:eastAsia="仿宋"/>
          <w:bCs/>
          <w:kern w:val="0"/>
          <w:sz w:val="28"/>
          <w:szCs w:val="28"/>
        </w:rPr>
      </w:pPr>
      <w:r>
        <w:fldChar w:fldCharType="begin"/>
      </w:r>
      <w:r>
        <w:instrText xml:space="preserve"> HYPERLINK "mailto:2161211837@qq.com" </w:instrText>
      </w:r>
      <w:r>
        <w:fldChar w:fldCharType="separate"/>
      </w:r>
      <w:r>
        <w:rPr>
          <w:rStyle w:val="12"/>
          <w:rFonts w:eastAsia="仿宋"/>
          <w:bCs/>
          <w:color w:val="000000"/>
          <w:kern w:val="0"/>
          <w:sz w:val="28"/>
          <w:szCs w:val="28"/>
        </w:rPr>
        <w:t>2161211837@qq.com</w:t>
      </w:r>
      <w:r>
        <w:rPr>
          <w:rStyle w:val="12"/>
          <w:rFonts w:eastAsia="仿宋"/>
          <w:bCs/>
          <w:color w:val="000000"/>
          <w:kern w:val="0"/>
          <w:sz w:val="28"/>
          <w:szCs w:val="28"/>
        </w:rPr>
        <w:fldChar w:fldCharType="end"/>
      </w:r>
    </w:p>
    <w:p>
      <w:pPr>
        <w:widowControl/>
        <w:adjustRightInd w:val="0"/>
        <w:snapToGrid w:val="0"/>
        <w:spacing w:line="360" w:lineRule="auto"/>
        <w:jc w:val="left"/>
        <w:rPr>
          <w:rFonts w:ascii="仿宋" w:hAnsi="仿宋" w:eastAsia="仿宋"/>
          <w:b/>
          <w:color w:val="000000"/>
          <w:sz w:val="28"/>
          <w:szCs w:val="28"/>
        </w:rPr>
        <w:sectPr>
          <w:type w:val="continuous"/>
          <w:pgSz w:w="16838" w:h="11906" w:orient="landscape"/>
          <w:pgMar w:top="1440" w:right="1080" w:bottom="1440" w:left="1080" w:header="851" w:footer="992" w:gutter="0"/>
          <w:cols w:space="210" w:num="2"/>
          <w:docGrid w:type="linesAndChars" w:linePitch="312" w:charSpace="0"/>
        </w:sectPr>
      </w:pPr>
      <w:r>
        <w:rPr>
          <w:rFonts w:hint="eastAsia" w:ascii="仿宋" w:hAnsi="仿宋" w:eastAsia="仿宋" w:cs="Arial"/>
          <w:b/>
          <w:color w:val="000000"/>
          <w:kern w:val="0"/>
          <w:sz w:val="28"/>
          <w:szCs w:val="28"/>
        </w:rPr>
        <w:t>注：</w:t>
      </w:r>
      <w:r>
        <w:rPr>
          <w:rFonts w:hint="eastAsia" w:ascii="仿宋" w:hAnsi="仿宋" w:eastAsia="仿宋" w:cs="Arial"/>
          <w:bCs/>
          <w:color w:val="000000"/>
          <w:kern w:val="0"/>
          <w:sz w:val="28"/>
          <w:szCs w:val="28"/>
        </w:rPr>
        <w:t>缴费时请备注培训费以及单位名称，并及时与会务组联系，便于会务组查账。请各单位提前与公司财务核实培训费发票的类型。</w:t>
      </w:r>
    </w:p>
    <w:p>
      <w:pPr>
        <w:rPr>
          <w:rFonts w:ascii="仿宋" w:hAnsi="仿宋" w:eastAsia="仿宋"/>
          <w:b/>
          <w:color w:val="000000"/>
          <w:sz w:val="28"/>
          <w:szCs w:val="28"/>
        </w:rPr>
      </w:pPr>
      <w:r>
        <w:rPr>
          <w:rFonts w:hint="eastAsia" w:ascii="仿宋" w:hAnsi="仿宋" w:eastAsia="仿宋"/>
          <w:b/>
          <w:color w:val="000000"/>
          <w:sz w:val="28"/>
          <w:szCs w:val="28"/>
        </w:rPr>
        <w:t>附件3：</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如需住宿，请直接与酒店联系预订，费用自理。</w:t>
      </w:r>
    </w:p>
    <w:p>
      <w:pPr>
        <w:widowControl/>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（酒店预订请报：“参加中岩培训工程材料培训班”）</w:t>
      </w:r>
    </w:p>
    <w:p>
      <w:pPr>
        <w:adjustRightInd w:val="0"/>
        <w:snapToGrid w:val="0"/>
        <w:spacing w:line="360" w:lineRule="auto"/>
        <w:jc w:val="left"/>
        <w:rPr>
          <w:rFonts w:ascii="仿宋" w:hAnsi="仿宋" w:eastAsia="仿宋" w:cs="Arial"/>
          <w:b/>
          <w:color w:val="000000"/>
          <w:kern w:val="0"/>
          <w:sz w:val="28"/>
          <w:szCs w:val="28"/>
        </w:rPr>
      </w:pPr>
    </w:p>
    <w:p>
      <w:pPr>
        <w:numPr>
          <w:ilvl w:val="0"/>
          <w:numId w:val="3"/>
        </w:num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kern w:val="0"/>
          <w:sz w:val="28"/>
          <w:szCs w:val="28"/>
        </w:rPr>
        <w:t>武汉帅府饭店（</w:t>
      </w:r>
      <w:r>
        <w:rPr>
          <w:rFonts w:ascii="仿宋" w:hAnsi="仿宋" w:eastAsia="仿宋" w:cs="Arial"/>
          <w:bCs/>
          <w:kern w:val="0"/>
          <w:sz w:val="28"/>
          <w:szCs w:val="28"/>
        </w:rPr>
        <w:t>武汉市</w:t>
      </w:r>
      <w:r>
        <w:rPr>
          <w:rFonts w:hint="eastAsia" w:ascii="仿宋" w:hAnsi="仿宋" w:eastAsia="仿宋" w:cs="Arial"/>
          <w:bCs/>
          <w:kern w:val="0"/>
          <w:sz w:val="28"/>
          <w:szCs w:val="28"/>
        </w:rPr>
        <w:t>武昌八一路98号）</w:t>
      </w:r>
    </w:p>
    <w:p>
      <w:p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预订电话：15342272256 高经理</w:t>
      </w:r>
      <w:r>
        <w:rPr>
          <w:rFonts w:hint="eastAsia" w:ascii="宋体" w:hAnsi="宋体" w:cs="宋体"/>
          <w:bCs/>
          <w:color w:val="000000"/>
          <w:kern w:val="0"/>
          <w:sz w:val="28"/>
          <w:szCs w:val="28"/>
        </w:rPr>
        <w:t> </w:t>
      </w:r>
      <w:r>
        <w:rPr>
          <w:rFonts w:hint="eastAsia" w:ascii="仿宋" w:hAnsi="仿宋" w:eastAsia="仿宋" w:cs="仿宋"/>
          <w:bCs/>
          <w:color w:val="000000"/>
          <w:kern w:val="0"/>
          <w:sz w:val="28"/>
          <w:szCs w:val="28"/>
        </w:rPr>
        <w:t xml:space="preserve"> </w:t>
      </w:r>
    </w:p>
    <w:p>
      <w:p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普通标间218元/间 （含早）    公务标间288元/间 （含早）</w:t>
      </w:r>
    </w:p>
    <w:p>
      <w:pPr>
        <w:adjustRightInd w:val="0"/>
        <w:snapToGrid w:val="0"/>
        <w:spacing w:line="360" w:lineRule="auto"/>
        <w:jc w:val="left"/>
        <w:rPr>
          <w:rFonts w:ascii="仿宋" w:hAnsi="仿宋" w:eastAsia="仿宋" w:cs="Arial"/>
          <w:bCs/>
          <w:color w:val="000000"/>
          <w:kern w:val="0"/>
          <w:sz w:val="28"/>
          <w:szCs w:val="28"/>
        </w:rPr>
      </w:pPr>
    </w:p>
    <w:p>
      <w:pPr>
        <w:numPr>
          <w:ilvl w:val="0"/>
          <w:numId w:val="3"/>
        </w:num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kern w:val="0"/>
          <w:sz w:val="28"/>
          <w:szCs w:val="28"/>
        </w:rPr>
        <w:t>武汉铁路桥梁职业技术学院</w:t>
      </w:r>
    </w:p>
    <w:p>
      <w:pPr>
        <w:autoSpaceDE w:val="0"/>
        <w:autoSpaceDN w:val="0"/>
        <w:adjustRightInd w:val="0"/>
        <w:jc w:val="left"/>
        <w:rPr>
          <w:rFonts w:ascii="仿宋" w:hAnsi="仿宋" w:eastAsia="仿宋" w:cs="Arial"/>
          <w:bCs/>
          <w:kern w:val="0"/>
          <w:sz w:val="28"/>
          <w:szCs w:val="28"/>
        </w:rPr>
      </w:pPr>
      <w:r>
        <w:rPr>
          <w:rFonts w:hint="eastAsia" w:ascii="仿宋" w:hAnsi="仿宋" w:eastAsia="仿宋" w:cs="Arial"/>
          <w:bCs/>
          <w:kern w:val="0"/>
          <w:sz w:val="28"/>
          <w:szCs w:val="28"/>
        </w:rPr>
        <w:t>(武汉市经济技术开发区（汉南区）东荆街马影河大道</w:t>
      </w:r>
      <w:r>
        <w:rPr>
          <w:rFonts w:ascii="仿宋" w:hAnsi="仿宋" w:eastAsia="仿宋" w:cs="Arial"/>
          <w:bCs/>
          <w:kern w:val="0"/>
          <w:sz w:val="28"/>
          <w:szCs w:val="28"/>
        </w:rPr>
        <w:t>66</w:t>
      </w:r>
      <w:r>
        <w:rPr>
          <w:rFonts w:hint="eastAsia" w:ascii="仿宋" w:hAnsi="仿宋" w:eastAsia="仿宋" w:cs="Arial"/>
          <w:bCs/>
          <w:kern w:val="0"/>
          <w:sz w:val="28"/>
          <w:szCs w:val="28"/>
        </w:rPr>
        <w:t>号)</w:t>
      </w:r>
    </w:p>
    <w:p>
      <w:p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预订电话： 18802709810李老师</w:t>
      </w:r>
    </w:p>
    <w:p>
      <w:pPr>
        <w:adjustRightInd w:val="0"/>
        <w:snapToGrid w:val="0"/>
        <w:spacing w:line="360" w:lineRule="auto"/>
        <w:ind w:firstLine="1540" w:firstLineChars="550"/>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18717106580成老师</w:t>
      </w:r>
    </w:p>
    <w:p>
      <w:pPr>
        <w:adjustRightInd w:val="0"/>
        <w:snapToGrid w:val="0"/>
        <w:spacing w:line="360" w:lineRule="auto"/>
        <w:jc w:val="left"/>
        <w:rPr>
          <w:rFonts w:ascii="仿宋" w:hAnsi="仿宋" w:eastAsia="仿宋" w:cs="Arial"/>
          <w:bCs/>
          <w:color w:val="000000"/>
          <w:kern w:val="0"/>
          <w:sz w:val="28"/>
          <w:szCs w:val="28"/>
        </w:rPr>
      </w:pPr>
      <w:r>
        <w:rPr>
          <w:rFonts w:hint="eastAsia" w:ascii="仿宋" w:hAnsi="仿宋" w:eastAsia="仿宋" w:cs="Arial"/>
          <w:bCs/>
          <w:color w:val="000000"/>
          <w:kern w:val="0"/>
          <w:sz w:val="28"/>
          <w:szCs w:val="28"/>
        </w:rPr>
        <w:t>单间180元/间（含单早）    标间200元/间（含双早）</w:t>
      </w:r>
    </w:p>
    <w:p>
      <w:pPr>
        <w:widowControl/>
        <w:adjustRightInd w:val="0"/>
        <w:snapToGrid w:val="0"/>
        <w:spacing w:line="360" w:lineRule="auto"/>
        <w:jc w:val="left"/>
        <w:rPr>
          <w:rFonts w:ascii="仿宋" w:hAnsi="仿宋" w:eastAsia="仿宋" w:cs="Arial"/>
          <w:bCs/>
          <w:color w:val="000000"/>
          <w:kern w:val="0"/>
          <w:sz w:val="11"/>
          <w:szCs w:val="11"/>
        </w:rPr>
      </w:pPr>
    </w:p>
    <w:sectPr>
      <w:type w:val="continuous"/>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w:rPr>
        <w:rFonts w:hint="eastAsia" w:ascii="华文楷体" w:hAnsi="华文楷体" w:eastAsia="华文楷体"/>
        <w:color w:val="C00000"/>
        <w:sz w:val="28"/>
        <w:szCs w:val="28"/>
      </w:rPr>
      <w:tab/>
    </w:r>
    <w:r>
      <w:rPr>
        <w:rFonts w:hint="eastAsia"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firstLine="0" w:firstLineChars="0"/>
      <w:jc w:val="right"/>
      <w:rPr>
        <w:rFonts w:ascii="华文楷体" w:hAnsi="华文楷体" w:eastAsia="华文楷体"/>
        <w:color w:val="C00000"/>
        <w:sz w:val="28"/>
        <w:szCs w:val="28"/>
      </w:rPr>
    </w:pPr>
    <w:r>
      <w:rPr>
        <w:sz w:val="28"/>
      </w:rPr>
      <w:pict>
        <v:shape id="_x0000_s2050" o:spid="_x0000_s2050"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firstLine="0" w:firstLineChars="0"/>
      <w:jc w:val="right"/>
      <w:rPr>
        <w:rFonts w:ascii="华文楷体" w:hAnsi="华文楷体" w:eastAsia="华文楷体"/>
        <w:color w:val="C00000"/>
        <w:sz w:val="28"/>
        <w:szCs w:val="28"/>
      </w:rPr>
    </w:pPr>
    <w:r>
      <w:rPr>
        <w:sz w:val="2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p>
    <w:pPr>
      <w:pStyle w:val="24"/>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1AF0"/>
    <w:multiLevelType w:val="singleLevel"/>
    <w:tmpl w:val="13131AF0"/>
    <w:lvl w:ilvl="0" w:tentative="0">
      <w:start w:val="1"/>
      <w:numFmt w:val="chineseCounting"/>
      <w:suff w:val="nothing"/>
      <w:lvlText w:val="%1、"/>
      <w:lvlJc w:val="left"/>
      <w:pPr>
        <w:ind w:left="0" w:firstLine="420"/>
      </w:pPr>
      <w:rPr>
        <w:rFonts w:hint="eastAsia"/>
      </w:rPr>
    </w:lvl>
  </w:abstractNum>
  <w:abstractNum w:abstractNumId="1">
    <w:nsid w:val="5A8DF840"/>
    <w:multiLevelType w:val="singleLevel"/>
    <w:tmpl w:val="5A8DF840"/>
    <w:lvl w:ilvl="0" w:tentative="0">
      <w:start w:val="1"/>
      <w:numFmt w:val="decimal"/>
      <w:suff w:val="nothing"/>
      <w:lvlText w:val="%1、"/>
      <w:lvlJc w:val="left"/>
    </w:lvl>
  </w:abstractNum>
  <w:abstractNum w:abstractNumId="2">
    <w:nsid w:val="79246F5D"/>
    <w:multiLevelType w:val="singleLevel"/>
    <w:tmpl w:val="79246F5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NotTrackMoves/>
  <w:documentProtection w:enforcement="0"/>
  <w:defaultTabStop w:val="420"/>
  <w:drawingGridHorizontalSpacing w:val="107"/>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172A27"/>
    <w:rsid w:val="00002114"/>
    <w:rsid w:val="00014BE7"/>
    <w:rsid w:val="00036C88"/>
    <w:rsid w:val="000401A9"/>
    <w:rsid w:val="00041C16"/>
    <w:rsid w:val="000467FA"/>
    <w:rsid w:val="00054F51"/>
    <w:rsid w:val="00055640"/>
    <w:rsid w:val="00062F1B"/>
    <w:rsid w:val="00064556"/>
    <w:rsid w:val="00076F42"/>
    <w:rsid w:val="00081468"/>
    <w:rsid w:val="0008433A"/>
    <w:rsid w:val="000942FC"/>
    <w:rsid w:val="000A625A"/>
    <w:rsid w:val="000B21C0"/>
    <w:rsid w:val="000D4AAD"/>
    <w:rsid w:val="00101096"/>
    <w:rsid w:val="00107730"/>
    <w:rsid w:val="001117E1"/>
    <w:rsid w:val="001132FA"/>
    <w:rsid w:val="00113781"/>
    <w:rsid w:val="00117ABC"/>
    <w:rsid w:val="00117C0E"/>
    <w:rsid w:val="00121B57"/>
    <w:rsid w:val="00124E35"/>
    <w:rsid w:val="00132D46"/>
    <w:rsid w:val="001376EA"/>
    <w:rsid w:val="00140468"/>
    <w:rsid w:val="00141399"/>
    <w:rsid w:val="00151708"/>
    <w:rsid w:val="00161E7E"/>
    <w:rsid w:val="00162BFF"/>
    <w:rsid w:val="00170BD5"/>
    <w:rsid w:val="00172A27"/>
    <w:rsid w:val="001742DA"/>
    <w:rsid w:val="00175D92"/>
    <w:rsid w:val="00176E2D"/>
    <w:rsid w:val="00181784"/>
    <w:rsid w:val="001969B4"/>
    <w:rsid w:val="00196ED1"/>
    <w:rsid w:val="00197CEA"/>
    <w:rsid w:val="001F42A5"/>
    <w:rsid w:val="002013E6"/>
    <w:rsid w:val="00217078"/>
    <w:rsid w:val="00221925"/>
    <w:rsid w:val="00224078"/>
    <w:rsid w:val="002248E5"/>
    <w:rsid w:val="00232F2E"/>
    <w:rsid w:val="00233506"/>
    <w:rsid w:val="002424E0"/>
    <w:rsid w:val="00245AAE"/>
    <w:rsid w:val="00246162"/>
    <w:rsid w:val="002503F4"/>
    <w:rsid w:val="002511EF"/>
    <w:rsid w:val="00255036"/>
    <w:rsid w:val="00274972"/>
    <w:rsid w:val="002765F7"/>
    <w:rsid w:val="00277F9C"/>
    <w:rsid w:val="002856F4"/>
    <w:rsid w:val="00290D57"/>
    <w:rsid w:val="0029203D"/>
    <w:rsid w:val="002A4574"/>
    <w:rsid w:val="002B249F"/>
    <w:rsid w:val="002C6DDE"/>
    <w:rsid w:val="002D7694"/>
    <w:rsid w:val="002E6B76"/>
    <w:rsid w:val="002F083B"/>
    <w:rsid w:val="002F18AA"/>
    <w:rsid w:val="002F1DCD"/>
    <w:rsid w:val="002F2DE2"/>
    <w:rsid w:val="00300D0A"/>
    <w:rsid w:val="0030165B"/>
    <w:rsid w:val="00302911"/>
    <w:rsid w:val="0030604D"/>
    <w:rsid w:val="00326A93"/>
    <w:rsid w:val="003338FF"/>
    <w:rsid w:val="0033458A"/>
    <w:rsid w:val="00341F98"/>
    <w:rsid w:val="00345C05"/>
    <w:rsid w:val="003473CC"/>
    <w:rsid w:val="003521B5"/>
    <w:rsid w:val="00356B94"/>
    <w:rsid w:val="003576FC"/>
    <w:rsid w:val="0036759A"/>
    <w:rsid w:val="00372143"/>
    <w:rsid w:val="0037657C"/>
    <w:rsid w:val="003A0A7E"/>
    <w:rsid w:val="003A1085"/>
    <w:rsid w:val="003A2CDD"/>
    <w:rsid w:val="003A3409"/>
    <w:rsid w:val="003B1987"/>
    <w:rsid w:val="003B560D"/>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3870"/>
    <w:rsid w:val="004B651B"/>
    <w:rsid w:val="004C2A80"/>
    <w:rsid w:val="004C3B7A"/>
    <w:rsid w:val="004C4165"/>
    <w:rsid w:val="004C70BF"/>
    <w:rsid w:val="004D2E63"/>
    <w:rsid w:val="004D4A5D"/>
    <w:rsid w:val="004D5CF4"/>
    <w:rsid w:val="004E488E"/>
    <w:rsid w:val="004E4CE4"/>
    <w:rsid w:val="004F0EEC"/>
    <w:rsid w:val="004F48AF"/>
    <w:rsid w:val="00505F99"/>
    <w:rsid w:val="00507C59"/>
    <w:rsid w:val="0051778E"/>
    <w:rsid w:val="00523615"/>
    <w:rsid w:val="0053025A"/>
    <w:rsid w:val="005409FD"/>
    <w:rsid w:val="005411D6"/>
    <w:rsid w:val="0055201A"/>
    <w:rsid w:val="00555C75"/>
    <w:rsid w:val="005954A9"/>
    <w:rsid w:val="005A004E"/>
    <w:rsid w:val="005B6C76"/>
    <w:rsid w:val="005C32B7"/>
    <w:rsid w:val="005D02AF"/>
    <w:rsid w:val="005D0666"/>
    <w:rsid w:val="005D5183"/>
    <w:rsid w:val="005D5A01"/>
    <w:rsid w:val="005D5D6A"/>
    <w:rsid w:val="005D6832"/>
    <w:rsid w:val="005F2672"/>
    <w:rsid w:val="005F6BB9"/>
    <w:rsid w:val="006151A3"/>
    <w:rsid w:val="006446A2"/>
    <w:rsid w:val="0066292F"/>
    <w:rsid w:val="00663467"/>
    <w:rsid w:val="00667836"/>
    <w:rsid w:val="006740C2"/>
    <w:rsid w:val="006839E8"/>
    <w:rsid w:val="00683AB5"/>
    <w:rsid w:val="00695F31"/>
    <w:rsid w:val="006A12AC"/>
    <w:rsid w:val="006A22C5"/>
    <w:rsid w:val="006A2C9C"/>
    <w:rsid w:val="006A437D"/>
    <w:rsid w:val="006A7041"/>
    <w:rsid w:val="006B0F76"/>
    <w:rsid w:val="006B3BF8"/>
    <w:rsid w:val="006B4772"/>
    <w:rsid w:val="006C0717"/>
    <w:rsid w:val="006C3BC0"/>
    <w:rsid w:val="006D400C"/>
    <w:rsid w:val="006D49E6"/>
    <w:rsid w:val="006E11DD"/>
    <w:rsid w:val="006E1287"/>
    <w:rsid w:val="006E53BB"/>
    <w:rsid w:val="006F0EBD"/>
    <w:rsid w:val="006F1426"/>
    <w:rsid w:val="00702A90"/>
    <w:rsid w:val="00703E14"/>
    <w:rsid w:val="00706D1B"/>
    <w:rsid w:val="00711702"/>
    <w:rsid w:val="007121E1"/>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A5D3D"/>
    <w:rsid w:val="007B5152"/>
    <w:rsid w:val="007C6C14"/>
    <w:rsid w:val="007D4CDF"/>
    <w:rsid w:val="007D53F4"/>
    <w:rsid w:val="007D5478"/>
    <w:rsid w:val="007E53AE"/>
    <w:rsid w:val="007E6823"/>
    <w:rsid w:val="007F4AB9"/>
    <w:rsid w:val="00800AC2"/>
    <w:rsid w:val="00830402"/>
    <w:rsid w:val="00833A79"/>
    <w:rsid w:val="0083497C"/>
    <w:rsid w:val="008415DB"/>
    <w:rsid w:val="00851CAD"/>
    <w:rsid w:val="00855C79"/>
    <w:rsid w:val="0086674C"/>
    <w:rsid w:val="008740C0"/>
    <w:rsid w:val="00874E33"/>
    <w:rsid w:val="00877669"/>
    <w:rsid w:val="00883E41"/>
    <w:rsid w:val="00886060"/>
    <w:rsid w:val="00892F94"/>
    <w:rsid w:val="00894A3E"/>
    <w:rsid w:val="008A0DC6"/>
    <w:rsid w:val="008A3A20"/>
    <w:rsid w:val="008A4CE7"/>
    <w:rsid w:val="008C2191"/>
    <w:rsid w:val="008C4D22"/>
    <w:rsid w:val="008D59F9"/>
    <w:rsid w:val="008E0D0E"/>
    <w:rsid w:val="008F2F89"/>
    <w:rsid w:val="009008ED"/>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A41FD"/>
    <w:rsid w:val="009C5ED5"/>
    <w:rsid w:val="009D3F35"/>
    <w:rsid w:val="009E15D4"/>
    <w:rsid w:val="009E7468"/>
    <w:rsid w:val="009F7FE9"/>
    <w:rsid w:val="00A04567"/>
    <w:rsid w:val="00A054B7"/>
    <w:rsid w:val="00A22F32"/>
    <w:rsid w:val="00A23C80"/>
    <w:rsid w:val="00A35E3E"/>
    <w:rsid w:val="00A41B44"/>
    <w:rsid w:val="00A43F22"/>
    <w:rsid w:val="00A4524B"/>
    <w:rsid w:val="00A7184A"/>
    <w:rsid w:val="00A7221A"/>
    <w:rsid w:val="00A75FBA"/>
    <w:rsid w:val="00A840BA"/>
    <w:rsid w:val="00A856B9"/>
    <w:rsid w:val="00A9141B"/>
    <w:rsid w:val="00A9577D"/>
    <w:rsid w:val="00A969C6"/>
    <w:rsid w:val="00AC5DC4"/>
    <w:rsid w:val="00AC73DE"/>
    <w:rsid w:val="00AD14DA"/>
    <w:rsid w:val="00AD2EC7"/>
    <w:rsid w:val="00AD6009"/>
    <w:rsid w:val="00AE57DD"/>
    <w:rsid w:val="00AE7853"/>
    <w:rsid w:val="00AF4305"/>
    <w:rsid w:val="00B06161"/>
    <w:rsid w:val="00B06292"/>
    <w:rsid w:val="00B06EAA"/>
    <w:rsid w:val="00B0785A"/>
    <w:rsid w:val="00B11408"/>
    <w:rsid w:val="00B123F4"/>
    <w:rsid w:val="00B13476"/>
    <w:rsid w:val="00B1625A"/>
    <w:rsid w:val="00B36B7F"/>
    <w:rsid w:val="00B6412A"/>
    <w:rsid w:val="00B660FD"/>
    <w:rsid w:val="00B677AA"/>
    <w:rsid w:val="00B81DB1"/>
    <w:rsid w:val="00B83719"/>
    <w:rsid w:val="00B862F2"/>
    <w:rsid w:val="00B9214A"/>
    <w:rsid w:val="00BA1792"/>
    <w:rsid w:val="00BB4525"/>
    <w:rsid w:val="00BB68D9"/>
    <w:rsid w:val="00BC09CF"/>
    <w:rsid w:val="00BC4667"/>
    <w:rsid w:val="00BC6AE3"/>
    <w:rsid w:val="00BD0B48"/>
    <w:rsid w:val="00BF4EB0"/>
    <w:rsid w:val="00BF6169"/>
    <w:rsid w:val="00BF6726"/>
    <w:rsid w:val="00C0058B"/>
    <w:rsid w:val="00C01E96"/>
    <w:rsid w:val="00C11D3A"/>
    <w:rsid w:val="00C13D1C"/>
    <w:rsid w:val="00C37199"/>
    <w:rsid w:val="00C52952"/>
    <w:rsid w:val="00C577FD"/>
    <w:rsid w:val="00C60DC9"/>
    <w:rsid w:val="00C66F60"/>
    <w:rsid w:val="00C76261"/>
    <w:rsid w:val="00C77813"/>
    <w:rsid w:val="00C8117E"/>
    <w:rsid w:val="00C8340A"/>
    <w:rsid w:val="00C90A54"/>
    <w:rsid w:val="00C974BE"/>
    <w:rsid w:val="00CA0F8F"/>
    <w:rsid w:val="00CB52F6"/>
    <w:rsid w:val="00CB64AC"/>
    <w:rsid w:val="00CB75CF"/>
    <w:rsid w:val="00CC60AC"/>
    <w:rsid w:val="00CC7872"/>
    <w:rsid w:val="00CD5E17"/>
    <w:rsid w:val="00CE7036"/>
    <w:rsid w:val="00D04AA2"/>
    <w:rsid w:val="00D059BB"/>
    <w:rsid w:val="00D07920"/>
    <w:rsid w:val="00D206F0"/>
    <w:rsid w:val="00D21252"/>
    <w:rsid w:val="00D222EF"/>
    <w:rsid w:val="00D34232"/>
    <w:rsid w:val="00D36B70"/>
    <w:rsid w:val="00D44C5D"/>
    <w:rsid w:val="00D50226"/>
    <w:rsid w:val="00D504C8"/>
    <w:rsid w:val="00D62102"/>
    <w:rsid w:val="00D7547B"/>
    <w:rsid w:val="00D77B3F"/>
    <w:rsid w:val="00D8505E"/>
    <w:rsid w:val="00D9139C"/>
    <w:rsid w:val="00DB4903"/>
    <w:rsid w:val="00DC051A"/>
    <w:rsid w:val="00DD3C4D"/>
    <w:rsid w:val="00DE01D3"/>
    <w:rsid w:val="00DF77C5"/>
    <w:rsid w:val="00E00A71"/>
    <w:rsid w:val="00E11A72"/>
    <w:rsid w:val="00E150F4"/>
    <w:rsid w:val="00E162B0"/>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166C"/>
    <w:rsid w:val="00ED3646"/>
    <w:rsid w:val="00EF2090"/>
    <w:rsid w:val="00EF6DF7"/>
    <w:rsid w:val="00F120EF"/>
    <w:rsid w:val="00F2000D"/>
    <w:rsid w:val="00F25282"/>
    <w:rsid w:val="00F32C20"/>
    <w:rsid w:val="00F33518"/>
    <w:rsid w:val="00F43C20"/>
    <w:rsid w:val="00F46F25"/>
    <w:rsid w:val="00F55E59"/>
    <w:rsid w:val="00F66E38"/>
    <w:rsid w:val="00F715FB"/>
    <w:rsid w:val="00F824A4"/>
    <w:rsid w:val="00F83424"/>
    <w:rsid w:val="00F95B6D"/>
    <w:rsid w:val="00FA55EE"/>
    <w:rsid w:val="00FC3EFE"/>
    <w:rsid w:val="00FD5389"/>
    <w:rsid w:val="00FD61C7"/>
    <w:rsid w:val="00FE1672"/>
    <w:rsid w:val="00FE6AC2"/>
    <w:rsid w:val="017969FC"/>
    <w:rsid w:val="01A130F8"/>
    <w:rsid w:val="01CF1260"/>
    <w:rsid w:val="03136E63"/>
    <w:rsid w:val="045508E6"/>
    <w:rsid w:val="04F60FB1"/>
    <w:rsid w:val="05462AD6"/>
    <w:rsid w:val="05A36618"/>
    <w:rsid w:val="064E079F"/>
    <w:rsid w:val="06C66D79"/>
    <w:rsid w:val="06E775E0"/>
    <w:rsid w:val="07503643"/>
    <w:rsid w:val="07D41901"/>
    <w:rsid w:val="08AE4F2F"/>
    <w:rsid w:val="09197BC9"/>
    <w:rsid w:val="09320E0F"/>
    <w:rsid w:val="093916FF"/>
    <w:rsid w:val="09900EAF"/>
    <w:rsid w:val="09950EB3"/>
    <w:rsid w:val="099A282D"/>
    <w:rsid w:val="09B264F5"/>
    <w:rsid w:val="09EF3753"/>
    <w:rsid w:val="0A703E50"/>
    <w:rsid w:val="0AC165B2"/>
    <w:rsid w:val="0AC3001E"/>
    <w:rsid w:val="0ACB65E6"/>
    <w:rsid w:val="0BB91215"/>
    <w:rsid w:val="0C5E3FE7"/>
    <w:rsid w:val="0CEB5B5D"/>
    <w:rsid w:val="0D497EE9"/>
    <w:rsid w:val="0D547952"/>
    <w:rsid w:val="0D775547"/>
    <w:rsid w:val="0DAB2E46"/>
    <w:rsid w:val="0E262AE3"/>
    <w:rsid w:val="0E814C00"/>
    <w:rsid w:val="0ED62583"/>
    <w:rsid w:val="0F055535"/>
    <w:rsid w:val="0F063AA2"/>
    <w:rsid w:val="0FA23DD2"/>
    <w:rsid w:val="0FDE59C9"/>
    <w:rsid w:val="0FE7767A"/>
    <w:rsid w:val="129E0C50"/>
    <w:rsid w:val="12ED59D0"/>
    <w:rsid w:val="12FB641C"/>
    <w:rsid w:val="13451068"/>
    <w:rsid w:val="1366038D"/>
    <w:rsid w:val="13EC334C"/>
    <w:rsid w:val="14042200"/>
    <w:rsid w:val="14E4710E"/>
    <w:rsid w:val="15083691"/>
    <w:rsid w:val="15D90309"/>
    <w:rsid w:val="15F420CA"/>
    <w:rsid w:val="16F86864"/>
    <w:rsid w:val="172068C6"/>
    <w:rsid w:val="17AA4162"/>
    <w:rsid w:val="18CF3746"/>
    <w:rsid w:val="19861907"/>
    <w:rsid w:val="1A031E3D"/>
    <w:rsid w:val="1A076F3B"/>
    <w:rsid w:val="1A5417CA"/>
    <w:rsid w:val="1B5B6F52"/>
    <w:rsid w:val="1BA15B0B"/>
    <w:rsid w:val="1BBE4958"/>
    <w:rsid w:val="1BF50861"/>
    <w:rsid w:val="1C1A7259"/>
    <w:rsid w:val="1D3F04FB"/>
    <w:rsid w:val="1D9629D5"/>
    <w:rsid w:val="1D9B6079"/>
    <w:rsid w:val="1E305FCD"/>
    <w:rsid w:val="1E510C5F"/>
    <w:rsid w:val="1F5C0063"/>
    <w:rsid w:val="1FB238EC"/>
    <w:rsid w:val="1FBD2EDD"/>
    <w:rsid w:val="1FCA3951"/>
    <w:rsid w:val="1FDA481E"/>
    <w:rsid w:val="20655EF5"/>
    <w:rsid w:val="208B4685"/>
    <w:rsid w:val="20BC0AA7"/>
    <w:rsid w:val="218279B8"/>
    <w:rsid w:val="229855C6"/>
    <w:rsid w:val="22E074D1"/>
    <w:rsid w:val="233311A9"/>
    <w:rsid w:val="23CA04CC"/>
    <w:rsid w:val="24865DEC"/>
    <w:rsid w:val="24A8636A"/>
    <w:rsid w:val="24D81E53"/>
    <w:rsid w:val="251A7EEC"/>
    <w:rsid w:val="2528381A"/>
    <w:rsid w:val="259464B7"/>
    <w:rsid w:val="25C50247"/>
    <w:rsid w:val="25CB1400"/>
    <w:rsid w:val="26010AA8"/>
    <w:rsid w:val="265B063E"/>
    <w:rsid w:val="269970A7"/>
    <w:rsid w:val="27131FD8"/>
    <w:rsid w:val="2737052A"/>
    <w:rsid w:val="27840BBE"/>
    <w:rsid w:val="27877E66"/>
    <w:rsid w:val="27D92390"/>
    <w:rsid w:val="27DF2E58"/>
    <w:rsid w:val="284E5204"/>
    <w:rsid w:val="286E25FB"/>
    <w:rsid w:val="28D637F1"/>
    <w:rsid w:val="28D6698E"/>
    <w:rsid w:val="28E06019"/>
    <w:rsid w:val="291137AE"/>
    <w:rsid w:val="298419F4"/>
    <w:rsid w:val="29A905A6"/>
    <w:rsid w:val="29FA4685"/>
    <w:rsid w:val="2A0C49B1"/>
    <w:rsid w:val="2B0B2120"/>
    <w:rsid w:val="2BAC64A9"/>
    <w:rsid w:val="2C7D41C1"/>
    <w:rsid w:val="2CCD063D"/>
    <w:rsid w:val="2CF8098A"/>
    <w:rsid w:val="2D7048B9"/>
    <w:rsid w:val="2DA46D1A"/>
    <w:rsid w:val="2E3242F8"/>
    <w:rsid w:val="2EBA1E8C"/>
    <w:rsid w:val="2FDC5DE8"/>
    <w:rsid w:val="30782806"/>
    <w:rsid w:val="30A14781"/>
    <w:rsid w:val="30DE53C6"/>
    <w:rsid w:val="30F32899"/>
    <w:rsid w:val="315D35B5"/>
    <w:rsid w:val="31FD1F32"/>
    <w:rsid w:val="32307B09"/>
    <w:rsid w:val="32380BE1"/>
    <w:rsid w:val="325E69F7"/>
    <w:rsid w:val="32AE6AD1"/>
    <w:rsid w:val="32C52F33"/>
    <w:rsid w:val="33797A25"/>
    <w:rsid w:val="33B15838"/>
    <w:rsid w:val="344E1CFB"/>
    <w:rsid w:val="34642361"/>
    <w:rsid w:val="34AA4D11"/>
    <w:rsid w:val="35803837"/>
    <w:rsid w:val="35882629"/>
    <w:rsid w:val="35BC3DBF"/>
    <w:rsid w:val="35C76DF6"/>
    <w:rsid w:val="366636E4"/>
    <w:rsid w:val="36B0395E"/>
    <w:rsid w:val="37F42912"/>
    <w:rsid w:val="380700D7"/>
    <w:rsid w:val="38194B09"/>
    <w:rsid w:val="386D531A"/>
    <w:rsid w:val="38747675"/>
    <w:rsid w:val="387F2094"/>
    <w:rsid w:val="396B108D"/>
    <w:rsid w:val="3A9B18E5"/>
    <w:rsid w:val="3AE00603"/>
    <w:rsid w:val="3AF31E72"/>
    <w:rsid w:val="3B4E5576"/>
    <w:rsid w:val="3B7C4A5D"/>
    <w:rsid w:val="3B870A50"/>
    <w:rsid w:val="3B956FBE"/>
    <w:rsid w:val="3BA9406B"/>
    <w:rsid w:val="3BF469D1"/>
    <w:rsid w:val="3C3C472E"/>
    <w:rsid w:val="3C753AEB"/>
    <w:rsid w:val="3C7A44F5"/>
    <w:rsid w:val="3D210564"/>
    <w:rsid w:val="3E571B11"/>
    <w:rsid w:val="3E7E3CFE"/>
    <w:rsid w:val="3F101DE6"/>
    <w:rsid w:val="3F467C25"/>
    <w:rsid w:val="3F716071"/>
    <w:rsid w:val="3F940279"/>
    <w:rsid w:val="3FD30324"/>
    <w:rsid w:val="4020030C"/>
    <w:rsid w:val="40BC1313"/>
    <w:rsid w:val="41F65418"/>
    <w:rsid w:val="41F655F2"/>
    <w:rsid w:val="427B7983"/>
    <w:rsid w:val="43130EEA"/>
    <w:rsid w:val="431B6666"/>
    <w:rsid w:val="43257649"/>
    <w:rsid w:val="44592A93"/>
    <w:rsid w:val="44664A17"/>
    <w:rsid w:val="446738C1"/>
    <w:rsid w:val="45AF1461"/>
    <w:rsid w:val="46574AE3"/>
    <w:rsid w:val="479E1927"/>
    <w:rsid w:val="47A57383"/>
    <w:rsid w:val="47F70294"/>
    <w:rsid w:val="4800452A"/>
    <w:rsid w:val="48B63DD3"/>
    <w:rsid w:val="48EF169B"/>
    <w:rsid w:val="497C52BF"/>
    <w:rsid w:val="4A1E54BF"/>
    <w:rsid w:val="4A7330AC"/>
    <w:rsid w:val="4B7E417A"/>
    <w:rsid w:val="4C0200CB"/>
    <w:rsid w:val="4C4D096B"/>
    <w:rsid w:val="4D1F75A6"/>
    <w:rsid w:val="4E2A2CBC"/>
    <w:rsid w:val="4E5A3E2F"/>
    <w:rsid w:val="4F4359AA"/>
    <w:rsid w:val="50187B80"/>
    <w:rsid w:val="50341E92"/>
    <w:rsid w:val="51674FA0"/>
    <w:rsid w:val="51E27DDE"/>
    <w:rsid w:val="53323268"/>
    <w:rsid w:val="53C435F9"/>
    <w:rsid w:val="54584C37"/>
    <w:rsid w:val="54E30D52"/>
    <w:rsid w:val="54F6232E"/>
    <w:rsid w:val="552B2366"/>
    <w:rsid w:val="558856CC"/>
    <w:rsid w:val="558E2B3D"/>
    <w:rsid w:val="55C32D4E"/>
    <w:rsid w:val="561D42C5"/>
    <w:rsid w:val="56305A73"/>
    <w:rsid w:val="56F42664"/>
    <w:rsid w:val="56F57686"/>
    <w:rsid w:val="57420FE7"/>
    <w:rsid w:val="575125D1"/>
    <w:rsid w:val="58464CE2"/>
    <w:rsid w:val="58BF54C9"/>
    <w:rsid w:val="58D00621"/>
    <w:rsid w:val="58FF440F"/>
    <w:rsid w:val="598B0467"/>
    <w:rsid w:val="59E72F97"/>
    <w:rsid w:val="5C42112B"/>
    <w:rsid w:val="5CC92B15"/>
    <w:rsid w:val="5CE86AB0"/>
    <w:rsid w:val="5D0B22AD"/>
    <w:rsid w:val="5D2C7E3A"/>
    <w:rsid w:val="5E745C29"/>
    <w:rsid w:val="5EEE5EA8"/>
    <w:rsid w:val="5FEE006D"/>
    <w:rsid w:val="607B5836"/>
    <w:rsid w:val="612369DF"/>
    <w:rsid w:val="61290AA6"/>
    <w:rsid w:val="61426EA1"/>
    <w:rsid w:val="620B13F0"/>
    <w:rsid w:val="621C2B0C"/>
    <w:rsid w:val="62C25798"/>
    <w:rsid w:val="62D829F4"/>
    <w:rsid w:val="636C1F22"/>
    <w:rsid w:val="637D568A"/>
    <w:rsid w:val="639D56CB"/>
    <w:rsid w:val="63AF3714"/>
    <w:rsid w:val="647B0C6C"/>
    <w:rsid w:val="64B22FC1"/>
    <w:rsid w:val="64CF66AA"/>
    <w:rsid w:val="64EE7CF3"/>
    <w:rsid w:val="66086AF4"/>
    <w:rsid w:val="66294417"/>
    <w:rsid w:val="67DE434E"/>
    <w:rsid w:val="67EE4DBD"/>
    <w:rsid w:val="68A00A2A"/>
    <w:rsid w:val="68A60630"/>
    <w:rsid w:val="68F72D4E"/>
    <w:rsid w:val="6923018B"/>
    <w:rsid w:val="699A1D15"/>
    <w:rsid w:val="6A840F3B"/>
    <w:rsid w:val="6AD330D6"/>
    <w:rsid w:val="6AD85E62"/>
    <w:rsid w:val="6B7C111D"/>
    <w:rsid w:val="6D4905F1"/>
    <w:rsid w:val="6D705995"/>
    <w:rsid w:val="6D99638A"/>
    <w:rsid w:val="6DAA1D1B"/>
    <w:rsid w:val="6DBF69E0"/>
    <w:rsid w:val="6E2A3D7F"/>
    <w:rsid w:val="6E5B6F50"/>
    <w:rsid w:val="6E6F0B2A"/>
    <w:rsid w:val="6F292E34"/>
    <w:rsid w:val="715828CD"/>
    <w:rsid w:val="71A40885"/>
    <w:rsid w:val="71C40E6B"/>
    <w:rsid w:val="732F62C7"/>
    <w:rsid w:val="74732519"/>
    <w:rsid w:val="749E24BF"/>
    <w:rsid w:val="74E96391"/>
    <w:rsid w:val="75E36D7A"/>
    <w:rsid w:val="760A2F63"/>
    <w:rsid w:val="763B6C53"/>
    <w:rsid w:val="763C6E22"/>
    <w:rsid w:val="77893914"/>
    <w:rsid w:val="7979403A"/>
    <w:rsid w:val="797B32F0"/>
    <w:rsid w:val="79802B72"/>
    <w:rsid w:val="7ADA057F"/>
    <w:rsid w:val="7BF604BB"/>
    <w:rsid w:val="7CE3796D"/>
    <w:rsid w:val="7D695A54"/>
    <w:rsid w:val="7D831008"/>
    <w:rsid w:val="7E487F0D"/>
    <w:rsid w:val="7E59496A"/>
    <w:rsid w:val="7E8341CC"/>
    <w:rsid w:val="7E8635C4"/>
    <w:rsid w:val="7F7A1901"/>
    <w:rsid w:val="7F90151A"/>
    <w:rsid w:val="7FA424A6"/>
    <w:rsid w:val="7FCE202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qFormat="1"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6"/>
    <w:qFormat/>
    <w:uiPriority w:val="99"/>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99"/>
    <w:rPr>
      <w:rFonts w:cs="Times New Roman"/>
      <w:b/>
      <w:bCs/>
    </w:rPr>
  </w:style>
  <w:style w:type="character" w:styleId="10">
    <w:name w:val="FollowedHyperlink"/>
    <w:basedOn w:val="8"/>
    <w:semiHidden/>
    <w:unhideWhenUsed/>
    <w:qFormat/>
    <w:locked/>
    <w:uiPriority w:val="99"/>
    <w:rPr>
      <w:color w:val="000000"/>
      <w:u w:val="none"/>
    </w:rPr>
  </w:style>
  <w:style w:type="character" w:styleId="11">
    <w:name w:val="Emphasis"/>
    <w:basedOn w:val="8"/>
    <w:qFormat/>
    <w:uiPriority w:val="0"/>
    <w:rPr>
      <w:color w:val="CC0000"/>
    </w:rPr>
  </w:style>
  <w:style w:type="character" w:styleId="12">
    <w:name w:val="Hyperlink"/>
    <w:qFormat/>
    <w:uiPriority w:val="99"/>
    <w:rPr>
      <w:rFonts w:cs="Times New Roman"/>
      <w:color w:val="404040"/>
      <w:u w:val="none"/>
    </w:rPr>
  </w:style>
  <w:style w:type="character" w:styleId="13">
    <w:name w:val="HTML Cite"/>
    <w:basedOn w:val="8"/>
    <w:semiHidden/>
    <w:unhideWhenUsed/>
    <w:qFormat/>
    <w:locked/>
    <w:uiPriority w:val="99"/>
    <w:rPr>
      <w:color w:val="008000"/>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6">
    <w:name w:val="标题 1 Char"/>
    <w:link w:val="2"/>
    <w:qFormat/>
    <w:locked/>
    <w:uiPriority w:val="99"/>
    <w:rPr>
      <w:rFonts w:cs="Times New Roman"/>
      <w:b/>
      <w:bCs/>
      <w:kern w:val="44"/>
      <w:sz w:val="44"/>
      <w:szCs w:val="44"/>
    </w:rPr>
  </w:style>
  <w:style w:type="character" w:customStyle="1" w:styleId="17">
    <w:name w:val="Header Char"/>
    <w:qFormat/>
    <w:locked/>
    <w:uiPriority w:val="99"/>
    <w:rPr>
      <w:rFonts w:eastAsia="宋体"/>
      <w:kern w:val="2"/>
      <w:sz w:val="18"/>
      <w:lang w:val="en-US" w:eastAsia="zh-CN"/>
    </w:rPr>
  </w:style>
  <w:style w:type="character" w:customStyle="1" w:styleId="18">
    <w:name w:val="apple-converted-space"/>
    <w:qFormat/>
    <w:uiPriority w:val="99"/>
    <w:rPr>
      <w:rFonts w:cs="Times New Roman"/>
    </w:rPr>
  </w:style>
  <w:style w:type="paragraph" w:customStyle="1" w:styleId="19">
    <w:name w:val="列出段落1"/>
    <w:basedOn w:val="1"/>
    <w:qFormat/>
    <w:uiPriority w:val="99"/>
    <w:pPr>
      <w:ind w:firstLine="420" w:firstLineChars="200"/>
    </w:pPr>
  </w:style>
  <w:style w:type="character" w:customStyle="1" w:styleId="20">
    <w:name w:val="页脚 Char"/>
    <w:link w:val="4"/>
    <w:semiHidden/>
    <w:qFormat/>
    <w:locked/>
    <w:uiPriority w:val="99"/>
    <w:rPr>
      <w:rFonts w:cs="Times New Roman"/>
      <w:sz w:val="18"/>
      <w:szCs w:val="18"/>
    </w:rPr>
  </w:style>
  <w:style w:type="character" w:customStyle="1" w:styleId="21">
    <w:name w:val="页眉 Char"/>
    <w:link w:val="5"/>
    <w:semiHidden/>
    <w:qFormat/>
    <w:locked/>
    <w:uiPriority w:val="99"/>
    <w:rPr>
      <w:rFonts w:cs="Times New Roman"/>
      <w:sz w:val="18"/>
      <w:szCs w:val="18"/>
    </w:rPr>
  </w:style>
  <w:style w:type="paragraph" w:customStyle="1" w:styleId="22">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列出段落2"/>
    <w:basedOn w:val="1"/>
    <w:qFormat/>
    <w:uiPriority w:val="99"/>
    <w:pPr>
      <w:ind w:firstLine="420" w:firstLineChars="200"/>
    </w:pPr>
  </w:style>
  <w:style w:type="paragraph" w:customStyle="1" w:styleId="25">
    <w:name w:val="普通(网站)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6">
    <w:name w:val="批注框文本 Char"/>
    <w:link w:val="3"/>
    <w:qFormat/>
    <w:locked/>
    <w:uiPriority w:val="99"/>
    <w:rPr>
      <w:rFonts w:cs="Times New Roman"/>
      <w:kern w:val="2"/>
      <w:sz w:val="18"/>
      <w:szCs w:val="18"/>
    </w:rPr>
  </w:style>
  <w:style w:type="paragraph" w:styleId="27">
    <w:name w:val="List Paragraph"/>
    <w:basedOn w:val="1"/>
    <w:unhideWhenUsed/>
    <w:qFormat/>
    <w:uiPriority w:val="99"/>
    <w:pPr>
      <w:widowControl/>
      <w:ind w:firstLine="420" w:firstLineChars="200"/>
      <w:jc w:val="left"/>
    </w:pPr>
    <w:rPr>
      <w:rFonts w:ascii="Calibri" w:hAnsi="Calibri"/>
      <w:kern w:val="0"/>
      <w:sz w:val="24"/>
      <w:lang w:eastAsia="en-US"/>
    </w:rPr>
  </w:style>
  <w:style w:type="character" w:customStyle="1" w:styleId="28">
    <w:name w:val="hover"/>
    <w:basedOn w:val="8"/>
    <w:qFormat/>
    <w:uiPriority w:val="0"/>
    <w:rPr>
      <w:color w:val="FFFFFF"/>
      <w:shd w:val="clear" w:color="auto" w:fill="2674DF"/>
    </w:rPr>
  </w:style>
  <w:style w:type="character" w:customStyle="1" w:styleId="29">
    <w:name w:val="hover1"/>
    <w:basedOn w:val="8"/>
    <w:qFormat/>
    <w:uiPriority w:val="0"/>
    <w:rPr>
      <w:color w:val="33333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400</Words>
  <Characters>2283</Characters>
  <Lines>19</Lines>
  <Paragraphs>5</Paragraphs>
  <TotalTime>228</TotalTime>
  <ScaleCrop>false</ScaleCrop>
  <LinksUpToDate>false</LinksUpToDate>
  <CharactersWithSpaces>2678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2016-05-31T00:55:00Z</dcterms:created>
  <dc:creator>Administrator</dc:creator>
  <cp:lastModifiedBy>海风袭人</cp:lastModifiedBy>
  <cp:lastPrinted>2018-09-20T23:46:00Z</cp:lastPrinted>
  <dcterms:modified xsi:type="dcterms:W3CDTF">2019-03-11T03:22:27Z</dcterms:modified>
  <dc:title>重质量  铸诚信  担责任</dc:title>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