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color w:val="000000"/>
          <w:sz w:val="32"/>
          <w:szCs w:val="32"/>
        </w:rPr>
      </w:pPr>
      <w:r>
        <w:rPr>
          <w:rFonts w:hint="eastAsia" w:ascii="仿宋" w:hAnsi="仿宋" w:eastAsia="仿宋" w:cs="宋体"/>
          <w:b/>
          <w:bCs/>
          <w:color w:val="000000"/>
          <w:sz w:val="32"/>
          <w:szCs w:val="32"/>
        </w:rPr>
        <w:t>《武汉市装配式建筑装配率计算细则（试行）》</w:t>
      </w:r>
    </w:p>
    <w:p>
      <w:pPr>
        <w:spacing w:line="56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（征求意见稿）</w:t>
      </w:r>
    </w:p>
    <w:p>
      <w:pPr>
        <w:spacing w:line="560" w:lineRule="exact"/>
        <w:ind w:firstLine="627" w:firstLineChars="196"/>
        <w:rPr>
          <w:rFonts w:hint="eastAsia" w:ascii="仿宋" w:hAnsi="仿宋" w:eastAsia="仿宋" w:cs="仿宋"/>
          <w:color w:val="000000"/>
          <w:sz w:val="32"/>
          <w:szCs w:val="32"/>
        </w:rPr>
      </w:pPr>
    </w:p>
    <w:p>
      <w:pPr>
        <w:spacing w:line="56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一、适用范围</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适用于装配式混凝土结构建筑、装配式钢结构建筑、</w:t>
      </w:r>
      <w:r>
        <w:rPr>
          <w:rFonts w:hint="eastAsia" w:ascii="仿宋" w:hAnsi="仿宋" w:eastAsia="仿宋" w:cs="仿宋"/>
          <w:sz w:val="32"/>
          <w:szCs w:val="32"/>
        </w:rPr>
        <w:t>钢与混凝土</w:t>
      </w:r>
      <w:r>
        <w:rPr>
          <w:rFonts w:hint="eastAsia" w:ascii="仿宋" w:hAnsi="仿宋" w:eastAsia="仿宋" w:cs="仿宋"/>
          <w:color w:val="000000"/>
          <w:sz w:val="32"/>
          <w:szCs w:val="32"/>
        </w:rPr>
        <w:t>混合结构建筑，木结构建筑装配率计算可参照执行。</w:t>
      </w:r>
    </w:p>
    <w:p>
      <w:pPr>
        <w:spacing w:line="56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二、一般规定</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（一）本《计算细则》中的装配率是指单体建筑室外地坪以上的主体结构、围护和内隔墙、装修和设备管线等采用预制部品部件的综合比例分值。</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（二）装配式建筑的装配率计算应以单体建筑作为计算单元，并应符合下列规定：</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1.单体建筑应按项目规划批准文件的建筑编号确认；</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2.建筑由主楼和裙房组成时，主楼和裙房可按不同的单体建筑进行计算；</w:t>
      </w:r>
    </w:p>
    <w:p>
      <w:pPr>
        <w:spacing w:line="560" w:lineRule="exact"/>
        <w:ind w:firstLine="627" w:firstLineChars="196"/>
        <w:rPr>
          <w:rFonts w:ascii="仿宋" w:hAnsi="仿宋" w:eastAsia="仿宋" w:cs="仿宋"/>
          <w:b/>
          <w:color w:val="000000"/>
          <w:sz w:val="32"/>
          <w:szCs w:val="32"/>
        </w:rPr>
      </w:pPr>
      <w:r>
        <w:rPr>
          <w:rFonts w:hint="eastAsia" w:ascii="仿宋" w:hAnsi="仿宋" w:eastAsia="仿宋" w:cs="仿宋"/>
          <w:color w:val="000000"/>
          <w:sz w:val="32"/>
          <w:szCs w:val="32"/>
        </w:rPr>
        <w:t>3.单体建筑的</w:t>
      </w:r>
      <w:r>
        <w:rPr>
          <w:rFonts w:hint="eastAsia" w:ascii="仿宋" w:hAnsi="仿宋" w:eastAsia="仿宋" w:cs="仿宋"/>
          <w:b/>
          <w:bCs/>
          <w:color w:val="0000FF"/>
          <w:sz w:val="32"/>
          <w:szCs w:val="32"/>
        </w:rPr>
        <w:t>层数不大于3层</w:t>
      </w:r>
      <w:r>
        <w:rPr>
          <w:rFonts w:hint="eastAsia" w:ascii="仿宋" w:hAnsi="仿宋" w:eastAsia="仿宋" w:cs="仿宋"/>
          <w:color w:val="000000"/>
          <w:sz w:val="32"/>
          <w:szCs w:val="32"/>
        </w:rPr>
        <w:t>，且地上建筑面积不超过500m</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rPr>
        <w:t>时，可由多个单体建筑组成建筑组团作为计算单元；</w:t>
      </w:r>
    </w:p>
    <w:p>
      <w:pPr>
        <w:spacing w:line="560" w:lineRule="exact"/>
        <w:ind w:firstLine="627" w:firstLineChars="196"/>
        <w:rPr>
          <w:rFonts w:ascii="仿宋" w:hAnsi="仿宋" w:eastAsia="仿宋" w:cs="仿宋"/>
          <w:b/>
          <w:color w:val="000000"/>
          <w:sz w:val="32"/>
          <w:szCs w:val="32"/>
        </w:rPr>
      </w:pPr>
      <w:r>
        <w:rPr>
          <w:rFonts w:ascii="仿宋" w:hAnsi="仿宋" w:eastAsia="仿宋" w:cs="仿宋"/>
          <w:sz w:val="32"/>
          <w:szCs w:val="32"/>
        </w:rPr>
        <w:t>4</w:t>
      </w:r>
      <w:r>
        <w:rPr>
          <w:rFonts w:hint="eastAsia" w:ascii="仿宋" w:hAnsi="仿宋" w:eastAsia="仿宋" w:cs="仿宋"/>
          <w:sz w:val="32"/>
          <w:szCs w:val="32"/>
        </w:rPr>
        <w:t>.当采用未包含在本《计算细则》规定范围内的装配式建筑新技术时，可采取专家论证的方式确定应用比例、计算方式及分值。</w:t>
      </w:r>
    </w:p>
    <w:p>
      <w:pPr>
        <w:pStyle w:val="7"/>
        <w:widowControl/>
        <w:spacing w:before="0" w:beforeAutospacing="0" w:after="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sz w:val="30"/>
          <w:szCs w:val="30"/>
        </w:rPr>
        <w:t>下述范围</w:t>
      </w:r>
      <w:r>
        <w:rPr>
          <w:rStyle w:val="11"/>
          <w:rFonts w:hint="eastAsia" w:ascii="仿宋" w:hAnsi="仿宋" w:eastAsia="仿宋" w:cs="仿宋"/>
          <w:b w:val="0"/>
          <w:sz w:val="30"/>
          <w:szCs w:val="30"/>
        </w:rPr>
        <w:t>新建民用建筑对</w:t>
      </w:r>
      <w:r>
        <w:rPr>
          <w:rFonts w:hint="eastAsia" w:ascii="仿宋" w:hAnsi="仿宋" w:eastAsia="仿宋" w:cs="仿宋"/>
          <w:color w:val="000000"/>
          <w:sz w:val="32"/>
          <w:szCs w:val="32"/>
        </w:rPr>
        <w:t>主体结构中预制部件的应用比例不作最低限要求：</w:t>
      </w:r>
    </w:p>
    <w:p>
      <w:pPr>
        <w:pStyle w:val="7"/>
        <w:widowControl/>
        <w:spacing w:before="0" w:beforeAutospacing="0" w:after="0" w:afterAutospacing="0"/>
        <w:ind w:firstLine="640" w:firstLineChars="200"/>
        <w:rPr>
          <w:rStyle w:val="11"/>
          <w:rFonts w:ascii="仿宋" w:hAnsi="仿宋" w:eastAsia="仿宋" w:cs="仿宋"/>
          <w:b w:val="0"/>
          <w:sz w:val="30"/>
          <w:szCs w:val="30"/>
        </w:rPr>
      </w:pPr>
      <w:r>
        <w:rPr>
          <w:rFonts w:hint="eastAsia" w:ascii="仿宋" w:hAnsi="仿宋" w:eastAsia="仿宋" w:cs="仿宋"/>
          <w:color w:val="000000"/>
          <w:sz w:val="32"/>
          <w:szCs w:val="32"/>
        </w:rPr>
        <w:t>1</w:t>
      </w:r>
      <w:r>
        <w:rPr>
          <w:rFonts w:hint="eastAsia" w:ascii="仿宋" w:hAnsi="仿宋" w:eastAsia="仿宋" w:cs="仿宋"/>
          <w:sz w:val="32"/>
          <w:szCs w:val="32"/>
        </w:rPr>
        <w:t>.</w:t>
      </w:r>
      <w:r>
        <w:rPr>
          <w:rFonts w:hint="eastAsia" w:ascii="仿宋" w:hAnsi="仿宋" w:eastAsia="仿宋" w:cs="仿宋"/>
          <w:b/>
          <w:bCs/>
          <w:color w:val="000000"/>
          <w:sz w:val="32"/>
          <w:szCs w:val="32"/>
        </w:rPr>
        <w:t>超过</w:t>
      </w:r>
      <w:r>
        <w:rPr>
          <w:rFonts w:hint="eastAsia" w:ascii="仿宋" w:hAnsi="仿宋" w:eastAsia="仿宋" w:cs="仿宋"/>
          <w:sz w:val="32"/>
          <w:szCs w:val="32"/>
        </w:rPr>
        <w:t>装配式</w:t>
      </w:r>
      <w:r>
        <w:rPr>
          <w:rFonts w:ascii="仿宋" w:hAnsi="仿宋" w:eastAsia="仿宋" w:cs="仿宋"/>
          <w:sz w:val="32"/>
          <w:szCs w:val="32"/>
        </w:rPr>
        <w:t>建筑</w:t>
      </w:r>
      <w:r>
        <w:rPr>
          <w:rFonts w:hint="eastAsia" w:ascii="仿宋" w:hAnsi="仿宋" w:eastAsia="仿宋" w:cs="仿宋"/>
          <w:sz w:val="32"/>
          <w:szCs w:val="32"/>
        </w:rPr>
        <w:t>相关</w:t>
      </w:r>
      <w:r>
        <w:rPr>
          <w:rFonts w:ascii="仿宋" w:hAnsi="仿宋" w:eastAsia="仿宋" w:cs="仿宋"/>
          <w:sz w:val="32"/>
          <w:szCs w:val="32"/>
        </w:rPr>
        <w:t>技术标准</w:t>
      </w:r>
      <w:r>
        <w:rPr>
          <w:rFonts w:hint="eastAsia" w:ascii="仿宋" w:hAnsi="仿宋" w:eastAsia="仿宋" w:cs="仿宋"/>
          <w:sz w:val="32"/>
          <w:szCs w:val="32"/>
        </w:rPr>
        <w:t>规定</w:t>
      </w:r>
      <w:r>
        <w:rPr>
          <w:rFonts w:ascii="仿宋" w:hAnsi="仿宋" w:eastAsia="仿宋" w:cs="仿宋"/>
          <w:sz w:val="32"/>
          <w:szCs w:val="32"/>
        </w:rPr>
        <w:t>最大</w:t>
      </w:r>
      <w:r>
        <w:rPr>
          <w:rFonts w:hint="eastAsia" w:ascii="仿宋" w:hAnsi="仿宋" w:eastAsia="仿宋" w:cs="仿宋"/>
          <w:color w:val="000000"/>
          <w:sz w:val="32"/>
          <w:szCs w:val="32"/>
        </w:rPr>
        <w:t>适用高度的建筑工程，依据</w:t>
      </w:r>
      <w:r>
        <w:rPr>
          <w:rFonts w:ascii="仿宋" w:hAnsi="仿宋" w:eastAsia="仿宋" w:cs="仿宋"/>
          <w:color w:val="000000"/>
          <w:sz w:val="32"/>
          <w:szCs w:val="32"/>
        </w:rPr>
        <w:t>本细则计算的</w:t>
      </w:r>
      <w:r>
        <w:rPr>
          <w:rFonts w:hint="eastAsia" w:ascii="仿宋" w:hAnsi="仿宋" w:eastAsia="仿宋" w:cs="仿宋"/>
          <w:color w:val="000000"/>
          <w:sz w:val="32"/>
          <w:szCs w:val="32"/>
        </w:rPr>
        <w:t>单体建筑装配率应达到25%以上；</w:t>
      </w:r>
      <w:bookmarkStart w:id="6" w:name="_GoBack"/>
      <w:bookmarkEnd w:id="6"/>
    </w:p>
    <w:p>
      <w:pPr>
        <w:pStyle w:val="7"/>
        <w:widowControl/>
        <w:spacing w:before="0" w:beforeAutospacing="0" w:after="0" w:afterAutospacing="0"/>
        <w:ind w:firstLine="640" w:firstLineChars="200"/>
        <w:rPr>
          <w:rStyle w:val="11"/>
          <w:rFonts w:ascii="仿宋" w:hAnsi="仿宋" w:eastAsia="仿宋" w:cs="仿宋"/>
          <w:b w:val="0"/>
          <w:sz w:val="30"/>
          <w:szCs w:val="30"/>
        </w:rPr>
      </w:pPr>
      <w:r>
        <w:rPr>
          <w:rFonts w:hint="eastAsia" w:ascii="仿宋" w:hAnsi="仿宋" w:eastAsia="仿宋" w:cs="仿宋"/>
          <w:color w:val="000000"/>
          <w:sz w:val="32"/>
          <w:szCs w:val="32"/>
        </w:rPr>
        <w:t>2</w:t>
      </w:r>
      <w:r>
        <w:rPr>
          <w:rFonts w:hint="eastAsia" w:ascii="仿宋" w:hAnsi="仿宋" w:eastAsia="仿宋" w:cs="仿宋"/>
          <w:sz w:val="32"/>
          <w:szCs w:val="32"/>
        </w:rPr>
        <w:t>.</w:t>
      </w:r>
      <w:r>
        <w:rPr>
          <w:rStyle w:val="11"/>
          <w:rFonts w:hint="eastAsia" w:ascii="仿宋" w:hAnsi="仿宋" w:eastAsia="仿宋" w:cs="仿宋"/>
          <w:b w:val="0"/>
          <w:sz w:val="30"/>
          <w:szCs w:val="30"/>
        </w:rPr>
        <w:t>居住建筑类项目中非居住功能的建筑</w:t>
      </w:r>
      <w:r>
        <w:rPr>
          <w:rFonts w:hint="eastAsia" w:ascii="仿宋" w:hAnsi="仿宋" w:eastAsia="仿宋" w:cs="仿宋"/>
          <w:sz w:val="30"/>
          <w:szCs w:val="30"/>
        </w:rPr>
        <w:t>，其</w:t>
      </w:r>
      <w:r>
        <w:rPr>
          <w:rStyle w:val="11"/>
          <w:rFonts w:hint="eastAsia" w:ascii="仿宋" w:hAnsi="仿宋" w:eastAsia="仿宋" w:cs="仿宋"/>
          <w:b w:val="0"/>
          <w:sz w:val="30"/>
          <w:szCs w:val="30"/>
        </w:rPr>
        <w:t>地上建筑面积总和不超过10000平方米</w:t>
      </w:r>
      <w:r>
        <w:rPr>
          <w:rFonts w:hint="eastAsia" w:ascii="仿宋" w:hAnsi="仿宋" w:eastAsia="仿宋" w:cs="仿宋"/>
          <w:sz w:val="30"/>
          <w:szCs w:val="30"/>
        </w:rPr>
        <w:t>，或</w:t>
      </w:r>
      <w:r>
        <w:rPr>
          <w:rStyle w:val="11"/>
          <w:rFonts w:hint="eastAsia" w:ascii="仿宋" w:hAnsi="仿宋" w:eastAsia="仿宋" w:cs="仿宋"/>
          <w:b w:val="0"/>
          <w:sz w:val="30"/>
          <w:szCs w:val="30"/>
        </w:rPr>
        <w:t>不超过3000平方米的售楼处、会所（活动中心）、商铺等</w:t>
      </w:r>
      <w:r>
        <w:rPr>
          <w:rFonts w:hint="eastAsia" w:ascii="仿宋" w:hAnsi="仿宋" w:eastAsia="仿宋" w:cs="仿宋"/>
          <w:sz w:val="30"/>
          <w:szCs w:val="30"/>
        </w:rPr>
        <w:t>独立配套建筑；</w:t>
      </w:r>
    </w:p>
    <w:p>
      <w:pPr>
        <w:pStyle w:val="7"/>
        <w:widowControl/>
        <w:spacing w:before="0" w:beforeAutospacing="0" w:after="0" w:afterAutospacing="0"/>
        <w:ind w:firstLine="640" w:firstLineChars="200"/>
        <w:rPr>
          <w:rFonts w:ascii="仿宋" w:hAnsi="仿宋" w:eastAsia="仿宋" w:cs="仿宋"/>
          <w:b/>
          <w:color w:val="000000"/>
          <w:sz w:val="32"/>
          <w:szCs w:val="32"/>
        </w:rPr>
      </w:pPr>
      <w:r>
        <w:rPr>
          <w:rFonts w:hint="eastAsia" w:ascii="仿宋" w:hAnsi="仿宋" w:eastAsia="仿宋" w:cs="仿宋"/>
          <w:sz w:val="32"/>
          <w:szCs w:val="32"/>
        </w:rPr>
        <w:t>3.</w:t>
      </w:r>
      <w:r>
        <w:rPr>
          <w:rFonts w:hint="eastAsia" w:ascii="仿宋" w:hAnsi="仿宋" w:eastAsia="仿宋" w:cs="仿宋"/>
          <w:color w:val="000000"/>
          <w:sz w:val="32"/>
          <w:szCs w:val="32"/>
        </w:rPr>
        <w:t>因技术条件特殊需调整装配率指标的建筑工程，依据</w:t>
      </w:r>
      <w:r>
        <w:rPr>
          <w:rFonts w:ascii="仿宋" w:hAnsi="仿宋" w:eastAsia="仿宋" w:cs="仿宋"/>
          <w:color w:val="000000"/>
          <w:sz w:val="32"/>
          <w:szCs w:val="32"/>
        </w:rPr>
        <w:t>本细则计算的</w:t>
      </w:r>
      <w:r>
        <w:rPr>
          <w:rFonts w:hint="eastAsia" w:ascii="仿宋" w:hAnsi="仿宋" w:eastAsia="仿宋" w:cs="仿宋"/>
          <w:color w:val="000000"/>
          <w:sz w:val="32"/>
          <w:szCs w:val="32"/>
        </w:rPr>
        <w:t>单体建筑装配率应达到30%以上。</w:t>
      </w:r>
    </w:p>
    <w:p>
      <w:pPr>
        <w:spacing w:line="56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三、装配式建筑装配率计算方法</w:t>
      </w:r>
    </w:p>
    <w:p>
      <w:pPr>
        <w:spacing w:line="56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1.装配率应根据表1中的分值按下式计算：</w:t>
      </w:r>
    </w:p>
    <w:p>
      <w:pPr>
        <w:pStyle w:val="7"/>
        <w:shd w:val="clear" w:color="auto" w:fill="FFFFFF"/>
        <w:spacing w:before="0" w:beforeAutospacing="0" w:after="0" w:afterAutospacing="0" w:line="240" w:lineRule="atLeast"/>
        <w:jc w:val="center"/>
        <w:rPr>
          <w:rFonts w:ascii="仿宋" w:hAnsi="仿宋" w:eastAsia="仿宋" w:cs="仿宋"/>
          <w:sz w:val="32"/>
          <w:szCs w:val="32"/>
        </w:rPr>
      </w:pPr>
      <w:r>
        <w:rPr>
          <w:rFonts w:hint="eastAsia" w:ascii="仿宋" w:hAnsi="仿宋" w:eastAsia="仿宋" w:cs="仿宋"/>
          <w:b/>
          <w:bCs/>
          <w:sz w:val="32"/>
          <w:szCs w:val="32"/>
        </w:rPr>
        <w:t xml:space="preserve">P= </w:t>
      </w:r>
      <w:r>
        <w:rPr>
          <w:rFonts w:hint="eastAsia" w:ascii="仿宋" w:hAnsi="仿宋" w:eastAsia="仿宋" w:cs="仿宋"/>
          <w:b/>
          <w:bCs/>
          <w:position w:val="-28"/>
          <w:sz w:val="32"/>
          <w:szCs w:val="32"/>
        </w:rPr>
        <w:object>
          <v:shape id="_x0000_i1025" o:spt="75" type="#_x0000_t75" style="height:36pt;width:180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pStyle w:val="7"/>
        <w:shd w:val="clear" w:color="auto" w:fill="FFFFFF"/>
        <w:spacing w:before="0" w:beforeAutospacing="0" w:after="0" w:afterAutospacing="0" w:line="560" w:lineRule="exact"/>
        <w:jc w:val="both"/>
        <w:rPr>
          <w:rFonts w:ascii="仿宋" w:hAnsi="仿宋" w:eastAsia="仿宋" w:cs="仿宋"/>
          <w:sz w:val="32"/>
          <w:szCs w:val="32"/>
        </w:rPr>
      </w:pPr>
      <w:r>
        <w:rPr>
          <w:rFonts w:hint="eastAsia" w:ascii="仿宋" w:hAnsi="仿宋" w:eastAsia="仿宋" w:cs="仿宋"/>
          <w:sz w:val="32"/>
          <w:szCs w:val="32"/>
        </w:rPr>
        <w:t>式中：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P——装配率；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Q</w:t>
      </w:r>
      <w:r>
        <w:rPr>
          <w:rFonts w:hint="eastAsia" w:ascii="仿宋" w:hAnsi="仿宋" w:eastAsia="仿宋" w:cs="仿宋"/>
          <w:sz w:val="32"/>
          <w:szCs w:val="32"/>
          <w:vertAlign w:val="subscript"/>
        </w:rPr>
        <w:t>1</w:t>
      </w:r>
      <w:r>
        <w:rPr>
          <w:rFonts w:hint="eastAsia" w:ascii="仿宋" w:hAnsi="仿宋" w:eastAsia="仿宋" w:cs="仿宋"/>
          <w:sz w:val="32"/>
          <w:szCs w:val="32"/>
        </w:rPr>
        <w:t>——主体结构指标实际得分值；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Q</w:t>
      </w:r>
      <w:r>
        <w:rPr>
          <w:rFonts w:hint="eastAsia" w:ascii="仿宋" w:hAnsi="仿宋" w:eastAsia="仿宋" w:cs="仿宋"/>
          <w:sz w:val="32"/>
          <w:szCs w:val="32"/>
          <w:vertAlign w:val="subscript"/>
        </w:rPr>
        <w:t>2</w:t>
      </w:r>
      <w:r>
        <w:rPr>
          <w:rFonts w:hint="eastAsia" w:ascii="仿宋" w:hAnsi="仿宋" w:eastAsia="仿宋" w:cs="仿宋"/>
          <w:sz w:val="32"/>
          <w:szCs w:val="32"/>
        </w:rPr>
        <w:t>——围护墙和内隔墙指标实际得分值；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Q</w:t>
      </w:r>
      <w:r>
        <w:rPr>
          <w:rFonts w:hint="eastAsia" w:ascii="仿宋" w:hAnsi="仿宋" w:eastAsia="仿宋" w:cs="仿宋"/>
          <w:sz w:val="32"/>
          <w:szCs w:val="32"/>
          <w:vertAlign w:val="subscript"/>
        </w:rPr>
        <w:t>3</w:t>
      </w:r>
      <w:r>
        <w:rPr>
          <w:rFonts w:hint="eastAsia" w:ascii="仿宋" w:hAnsi="仿宋" w:eastAsia="仿宋" w:cs="仿宋"/>
          <w:sz w:val="32"/>
          <w:szCs w:val="32"/>
        </w:rPr>
        <w:t>——装修和设备管线指标实际得分值；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Q</w:t>
      </w:r>
      <w:r>
        <w:rPr>
          <w:rFonts w:hint="eastAsia" w:ascii="仿宋" w:hAnsi="仿宋" w:eastAsia="仿宋" w:cs="仿宋"/>
          <w:sz w:val="32"/>
          <w:szCs w:val="32"/>
          <w:vertAlign w:val="subscript"/>
        </w:rPr>
        <w:t>4</w:t>
      </w:r>
      <w:r>
        <w:rPr>
          <w:rFonts w:hint="eastAsia" w:ascii="仿宋" w:hAnsi="仿宋" w:eastAsia="仿宋" w:cs="仿宋"/>
          <w:sz w:val="32"/>
          <w:szCs w:val="32"/>
        </w:rPr>
        <w:t>——装配率评价项目Q</w:t>
      </w:r>
      <w:r>
        <w:rPr>
          <w:rFonts w:hint="eastAsia" w:ascii="仿宋" w:hAnsi="仿宋" w:eastAsia="仿宋" w:cs="仿宋"/>
          <w:sz w:val="32"/>
          <w:szCs w:val="32"/>
          <w:vertAlign w:val="subscript"/>
        </w:rPr>
        <w:t>1</w:t>
      </w:r>
      <w:r>
        <w:rPr>
          <w:rFonts w:hint="eastAsia" w:ascii="仿宋" w:hAnsi="仿宋" w:eastAsia="仿宋" w:cs="仿宋"/>
          <w:sz w:val="32"/>
          <w:szCs w:val="32"/>
        </w:rPr>
        <w:t>、Q</w:t>
      </w:r>
      <w:r>
        <w:rPr>
          <w:rFonts w:hint="eastAsia" w:ascii="仿宋" w:hAnsi="仿宋" w:eastAsia="仿宋" w:cs="仿宋"/>
          <w:sz w:val="32"/>
          <w:szCs w:val="32"/>
          <w:vertAlign w:val="subscript"/>
        </w:rPr>
        <w:t>2</w:t>
      </w:r>
      <w:r>
        <w:rPr>
          <w:rFonts w:hint="eastAsia" w:ascii="仿宋" w:hAnsi="仿宋" w:eastAsia="仿宋" w:cs="仿宋"/>
          <w:sz w:val="32"/>
          <w:szCs w:val="32"/>
        </w:rPr>
        <w:t>、Q</w:t>
      </w:r>
      <w:r>
        <w:rPr>
          <w:rFonts w:hint="eastAsia" w:ascii="仿宋" w:hAnsi="仿宋" w:eastAsia="仿宋" w:cs="仿宋"/>
          <w:sz w:val="32"/>
          <w:szCs w:val="32"/>
          <w:vertAlign w:val="subscript"/>
        </w:rPr>
        <w:t>3</w:t>
      </w:r>
      <w:r>
        <w:rPr>
          <w:rFonts w:hint="eastAsia" w:ascii="仿宋" w:hAnsi="仿宋" w:eastAsia="仿宋" w:cs="仿宋"/>
          <w:sz w:val="32"/>
          <w:szCs w:val="32"/>
        </w:rPr>
        <w:t>中缺少的评价项分值总和；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Q</w:t>
      </w:r>
      <w:r>
        <w:rPr>
          <w:rFonts w:hint="eastAsia" w:ascii="仿宋" w:hAnsi="仿宋" w:eastAsia="仿宋" w:cs="仿宋"/>
          <w:sz w:val="32"/>
          <w:szCs w:val="32"/>
          <w:vertAlign w:val="subscript"/>
        </w:rPr>
        <w:t>5</w:t>
      </w:r>
      <w:r>
        <w:rPr>
          <w:rFonts w:hint="eastAsia" w:ascii="仿宋" w:hAnsi="仿宋" w:eastAsia="仿宋" w:cs="仿宋"/>
          <w:sz w:val="32"/>
          <w:szCs w:val="32"/>
        </w:rPr>
        <w:t>——创新项指标实际得分值。</w:t>
      </w:r>
    </w:p>
    <w:p>
      <w:pPr>
        <w:adjustRightInd w:val="0"/>
        <w:snapToGrid w:val="0"/>
        <w:spacing w:line="560" w:lineRule="exact"/>
        <w:ind w:firstLine="1600" w:firstLineChars="500"/>
        <w:rPr>
          <w:rFonts w:ascii="仿宋" w:hAnsi="仿宋" w:eastAsia="仿宋" w:cs="仿宋"/>
          <w:sz w:val="32"/>
          <w:szCs w:val="32"/>
        </w:rPr>
      </w:pPr>
    </w:p>
    <w:p>
      <w:pPr>
        <w:adjustRightInd w:val="0"/>
        <w:snapToGrid w:val="0"/>
        <w:spacing w:line="560" w:lineRule="exact"/>
        <w:ind w:firstLine="1600" w:firstLineChars="500"/>
        <w:rPr>
          <w:rFonts w:ascii="仿宋" w:hAnsi="仿宋" w:eastAsia="仿宋" w:cs="仿宋"/>
          <w:sz w:val="32"/>
          <w:szCs w:val="32"/>
        </w:rPr>
      </w:pPr>
    </w:p>
    <w:p>
      <w:pPr>
        <w:adjustRightInd w:val="0"/>
        <w:snapToGrid w:val="0"/>
        <w:spacing w:line="560" w:lineRule="exact"/>
        <w:ind w:firstLine="1606" w:firstLineChars="500"/>
        <w:rPr>
          <w:rFonts w:ascii="仿宋" w:hAnsi="仿宋" w:eastAsia="仿宋" w:cs="仿宋"/>
          <w:b/>
          <w:bCs/>
          <w:color w:val="000000"/>
          <w:sz w:val="32"/>
          <w:szCs w:val="32"/>
        </w:rPr>
      </w:pPr>
    </w:p>
    <w:p>
      <w:pPr>
        <w:adjustRightInd w:val="0"/>
        <w:snapToGrid w:val="0"/>
        <w:spacing w:line="560" w:lineRule="exact"/>
        <w:rPr>
          <w:rFonts w:ascii="仿宋" w:hAnsi="仿宋" w:eastAsia="仿宋" w:cs="仿宋"/>
          <w:b/>
          <w:bCs/>
          <w:color w:val="000000"/>
          <w:sz w:val="32"/>
          <w:szCs w:val="32"/>
        </w:rPr>
      </w:pPr>
    </w:p>
    <w:p>
      <w:pPr>
        <w:adjustRightInd w:val="0"/>
        <w:snapToGrid w:val="0"/>
        <w:spacing w:line="5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表1  装配式建筑装配率计算表</w:t>
      </w:r>
    </w:p>
    <w:tbl>
      <w:tblPr>
        <w:tblStyle w:val="9"/>
        <w:tblW w:w="10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25"/>
        <w:gridCol w:w="2229"/>
        <w:gridCol w:w="1752"/>
        <w:gridCol w:w="374"/>
        <w:gridCol w:w="155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225" w:type="dxa"/>
            <w:gridSpan w:val="3"/>
            <w:vAlign w:val="center"/>
          </w:tcPr>
          <w:p>
            <w:pPr>
              <w:spacing w:line="560" w:lineRule="exact"/>
              <w:jc w:val="center"/>
              <w:rPr>
                <w:rFonts w:ascii="仿宋" w:hAnsi="仿宋" w:eastAsia="仿宋" w:cs="仿宋"/>
                <w:b/>
                <w:bCs/>
                <w:color w:val="000000"/>
                <w:szCs w:val="21"/>
              </w:rPr>
            </w:pPr>
            <w:r>
              <w:rPr>
                <w:rFonts w:hint="eastAsia" w:ascii="仿宋" w:hAnsi="仿宋" w:eastAsia="仿宋" w:cs="仿宋"/>
                <w:b/>
                <w:bCs/>
                <w:color w:val="000000"/>
                <w:szCs w:val="21"/>
              </w:rPr>
              <w:t>指标项</w:t>
            </w:r>
          </w:p>
        </w:tc>
        <w:tc>
          <w:tcPr>
            <w:tcW w:w="2126" w:type="dxa"/>
            <w:gridSpan w:val="2"/>
            <w:vAlign w:val="center"/>
          </w:tcPr>
          <w:p>
            <w:pPr>
              <w:spacing w:line="560" w:lineRule="exact"/>
              <w:jc w:val="center"/>
              <w:rPr>
                <w:rFonts w:ascii="仿宋" w:hAnsi="仿宋" w:eastAsia="仿宋" w:cs="仿宋"/>
                <w:b/>
                <w:bCs/>
                <w:color w:val="000000"/>
                <w:szCs w:val="21"/>
              </w:rPr>
            </w:pPr>
            <w:r>
              <w:rPr>
                <w:rFonts w:hint="eastAsia" w:ascii="仿宋" w:hAnsi="仿宋" w:eastAsia="仿宋" w:cs="仿宋"/>
                <w:b/>
                <w:bCs/>
                <w:color w:val="000000"/>
                <w:szCs w:val="21"/>
              </w:rPr>
              <w:t>指标要求</w:t>
            </w:r>
          </w:p>
        </w:tc>
        <w:tc>
          <w:tcPr>
            <w:tcW w:w="1559" w:type="dxa"/>
            <w:vAlign w:val="center"/>
          </w:tcPr>
          <w:p>
            <w:pPr>
              <w:spacing w:line="560" w:lineRule="exact"/>
              <w:jc w:val="center"/>
              <w:rPr>
                <w:rFonts w:ascii="仿宋" w:hAnsi="仿宋" w:eastAsia="仿宋" w:cs="仿宋"/>
                <w:b/>
                <w:bCs/>
                <w:color w:val="000000"/>
                <w:szCs w:val="21"/>
              </w:rPr>
            </w:pPr>
            <w:r>
              <w:rPr>
                <w:rFonts w:hint="eastAsia" w:ascii="仿宋" w:hAnsi="仿宋" w:eastAsia="仿宋" w:cs="仿宋"/>
                <w:b/>
                <w:bCs/>
                <w:color w:val="000000"/>
                <w:szCs w:val="21"/>
              </w:rPr>
              <w:t>指标分值</w:t>
            </w:r>
          </w:p>
        </w:tc>
        <w:tc>
          <w:tcPr>
            <w:tcW w:w="1339" w:type="dxa"/>
            <w:vAlign w:val="center"/>
          </w:tcPr>
          <w:p>
            <w:pPr>
              <w:spacing w:line="560" w:lineRule="exact"/>
              <w:jc w:val="center"/>
              <w:rPr>
                <w:rFonts w:ascii="仿宋" w:hAnsi="仿宋" w:eastAsia="仿宋" w:cs="仿宋"/>
                <w:b/>
                <w:bCs/>
                <w:color w:val="000000"/>
                <w:szCs w:val="21"/>
              </w:rPr>
            </w:pPr>
            <w:r>
              <w:rPr>
                <w:rFonts w:hint="eastAsia" w:ascii="仿宋" w:hAnsi="仿宋" w:eastAsia="仿宋" w:cs="仿宋"/>
                <w:b/>
                <w:bCs/>
                <w:color w:val="000000"/>
                <w:szCs w:val="21"/>
              </w:rPr>
              <w:t>最低分值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271"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主体结构</w:t>
            </w:r>
          </w:p>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（50分）</w:t>
            </w: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柱、支撑、承重墙、延性墙板等竖向部件</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35%≤比例≤80%</w:t>
            </w:r>
          </w:p>
        </w:tc>
        <w:tc>
          <w:tcPr>
            <w:tcW w:w="1559" w:type="dxa"/>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20～30*</w:t>
            </w:r>
          </w:p>
        </w:tc>
        <w:tc>
          <w:tcPr>
            <w:tcW w:w="1339"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梁、板、楼梯、阳台、空调板等水平部件</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70%≤比例≤80%</w:t>
            </w:r>
          </w:p>
        </w:tc>
        <w:tc>
          <w:tcPr>
            <w:tcW w:w="1559" w:type="dxa"/>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10～20*</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围护墙和内隔墙</w:t>
            </w:r>
          </w:p>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（20分）</w:t>
            </w: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非承重围护墙非砌筑</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比例≥80%</w:t>
            </w:r>
          </w:p>
        </w:tc>
        <w:tc>
          <w:tcPr>
            <w:tcW w:w="1559" w:type="dxa"/>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1339"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围护墙与保温、隔热、装饰一体化</w:t>
            </w:r>
          </w:p>
          <w:p>
            <w:pPr>
              <w:spacing w:line="560" w:lineRule="exact"/>
              <w:jc w:val="center"/>
              <w:rPr>
                <w:rFonts w:ascii="仿宋" w:hAnsi="仿宋" w:eastAsia="仿宋" w:cs="仿宋"/>
                <w:color w:val="000000"/>
                <w:szCs w:val="21"/>
              </w:rPr>
            </w:pPr>
            <w:r>
              <w:rPr>
                <w:rFonts w:hint="eastAsia" w:ascii="仿宋" w:hAnsi="仿宋" w:eastAsia="仿宋" w:cs="仿宋"/>
                <w:color w:val="0000FF"/>
                <w:szCs w:val="21"/>
              </w:rPr>
              <w:t>（围护墙与保温、隔热一体化）</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50%≤比例≤80%</w:t>
            </w:r>
          </w:p>
          <w:p>
            <w:pPr>
              <w:spacing w:line="560" w:lineRule="exact"/>
              <w:jc w:val="center"/>
              <w:rPr>
                <w:rFonts w:ascii="仿宋" w:hAnsi="仿宋" w:eastAsia="仿宋" w:cs="仿宋"/>
                <w:color w:val="000000"/>
                <w:szCs w:val="21"/>
              </w:rPr>
            </w:pPr>
            <w:r>
              <w:rPr>
                <w:rFonts w:hint="eastAsia" w:ascii="仿宋" w:hAnsi="仿宋" w:eastAsia="仿宋" w:cs="仿宋"/>
                <w:szCs w:val="21"/>
              </w:rPr>
              <w:t>（50%≤比例≤80%）</w:t>
            </w:r>
          </w:p>
        </w:tc>
        <w:tc>
          <w:tcPr>
            <w:tcW w:w="1559"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2～5*</w:t>
            </w:r>
          </w:p>
          <w:p>
            <w:pPr>
              <w:spacing w:line="560" w:lineRule="exact"/>
              <w:jc w:val="center"/>
              <w:rPr>
                <w:rFonts w:ascii="仿宋" w:hAnsi="仿宋" w:eastAsia="仿宋" w:cs="仿宋"/>
                <w:szCs w:val="21"/>
              </w:rPr>
            </w:pPr>
            <w:r>
              <w:rPr>
                <w:rFonts w:hint="eastAsia" w:ascii="仿宋" w:hAnsi="仿宋" w:eastAsia="仿宋" w:cs="仿宋"/>
                <w:szCs w:val="21"/>
              </w:rPr>
              <w:t>（1.4～3.5）</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szCs w:val="21"/>
                <w:highlight w:val="yellow"/>
              </w:rPr>
            </w:pPr>
            <w:r>
              <w:rPr>
                <w:rFonts w:hint="eastAsia" w:ascii="仿宋" w:hAnsi="仿宋" w:eastAsia="仿宋" w:cs="仿宋"/>
                <w:szCs w:val="21"/>
              </w:rPr>
              <w:t>内隔墙非砌筑</w:t>
            </w:r>
          </w:p>
        </w:tc>
        <w:tc>
          <w:tcPr>
            <w:tcW w:w="2126" w:type="dxa"/>
            <w:gridSpan w:val="2"/>
            <w:vAlign w:val="center"/>
          </w:tcPr>
          <w:p>
            <w:pPr>
              <w:spacing w:line="560" w:lineRule="exact"/>
              <w:jc w:val="center"/>
              <w:rPr>
                <w:rFonts w:ascii="仿宋" w:hAnsi="仿宋" w:eastAsia="仿宋" w:cs="仿宋"/>
                <w:szCs w:val="21"/>
                <w:highlight w:val="yellow"/>
              </w:rPr>
            </w:pPr>
            <w:r>
              <w:rPr>
                <w:rFonts w:hint="eastAsia" w:ascii="仿宋" w:hAnsi="仿宋" w:eastAsia="仿宋" w:cs="仿宋"/>
                <w:szCs w:val="21"/>
              </w:rPr>
              <w:t>比例≥50%</w:t>
            </w:r>
          </w:p>
        </w:tc>
        <w:tc>
          <w:tcPr>
            <w:tcW w:w="1559"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5</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内隔墙与管线、装修一体化</w:t>
            </w:r>
          </w:p>
          <w:p>
            <w:pPr>
              <w:spacing w:line="560" w:lineRule="exact"/>
              <w:jc w:val="center"/>
              <w:rPr>
                <w:rFonts w:ascii="仿宋" w:hAnsi="仿宋" w:eastAsia="仿宋" w:cs="仿宋"/>
                <w:color w:val="000000"/>
                <w:szCs w:val="21"/>
              </w:rPr>
            </w:pPr>
            <w:r>
              <w:rPr>
                <w:rFonts w:hint="eastAsia" w:ascii="仿宋" w:hAnsi="仿宋" w:eastAsia="仿宋" w:cs="仿宋"/>
                <w:color w:val="0000FF"/>
                <w:szCs w:val="21"/>
              </w:rPr>
              <w:t>（内隔墙与管线一体化）</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50%≤比例≤80%</w:t>
            </w:r>
          </w:p>
          <w:p>
            <w:pPr>
              <w:spacing w:line="560" w:lineRule="exact"/>
              <w:jc w:val="center"/>
              <w:rPr>
                <w:rFonts w:ascii="仿宋" w:hAnsi="仿宋" w:eastAsia="仿宋" w:cs="仿宋"/>
                <w:color w:val="000000"/>
                <w:szCs w:val="21"/>
              </w:rPr>
            </w:pPr>
            <w:r>
              <w:rPr>
                <w:rFonts w:hint="eastAsia" w:ascii="仿宋" w:hAnsi="仿宋" w:eastAsia="仿宋" w:cs="仿宋"/>
                <w:szCs w:val="21"/>
              </w:rPr>
              <w:t>（50%≤比例≤80%）</w:t>
            </w:r>
          </w:p>
        </w:tc>
        <w:tc>
          <w:tcPr>
            <w:tcW w:w="1559"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2～5*</w:t>
            </w:r>
          </w:p>
          <w:p>
            <w:pPr>
              <w:spacing w:line="560" w:lineRule="exact"/>
              <w:jc w:val="center"/>
              <w:rPr>
                <w:rFonts w:ascii="仿宋" w:hAnsi="仿宋" w:eastAsia="仿宋" w:cs="仿宋"/>
                <w:szCs w:val="21"/>
              </w:rPr>
            </w:pPr>
            <w:r>
              <w:rPr>
                <w:rFonts w:hint="eastAsia" w:ascii="仿宋" w:hAnsi="仿宋" w:eastAsia="仿宋" w:cs="仿宋"/>
                <w:szCs w:val="21"/>
              </w:rPr>
              <w:t>（1.4～3.5）</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装修和设备管线</w:t>
            </w:r>
          </w:p>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（30分）</w:t>
            </w: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全装修</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w:t>
            </w:r>
          </w:p>
        </w:tc>
        <w:tc>
          <w:tcPr>
            <w:tcW w:w="1559"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6</w:t>
            </w:r>
          </w:p>
        </w:tc>
        <w:tc>
          <w:tcPr>
            <w:tcW w:w="1339" w:type="dxa"/>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干式工法楼面、地面</w:t>
            </w:r>
          </w:p>
        </w:tc>
        <w:tc>
          <w:tcPr>
            <w:tcW w:w="2126" w:type="dxa"/>
            <w:gridSpan w:val="2"/>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比例≥70%</w:t>
            </w:r>
          </w:p>
        </w:tc>
        <w:tc>
          <w:tcPr>
            <w:tcW w:w="1559" w:type="dxa"/>
            <w:vAlign w:val="center"/>
          </w:tcPr>
          <w:p>
            <w:pPr>
              <w:spacing w:line="560" w:lineRule="exact"/>
              <w:jc w:val="center"/>
              <w:rPr>
                <w:rFonts w:ascii="仿宋" w:hAnsi="仿宋" w:eastAsia="仿宋" w:cs="仿宋"/>
                <w:szCs w:val="21"/>
              </w:rPr>
            </w:pPr>
            <w:r>
              <w:rPr>
                <w:rFonts w:ascii="仿宋" w:hAnsi="仿宋" w:eastAsia="仿宋" w:cs="仿宋"/>
                <w:szCs w:val="21"/>
              </w:rPr>
              <w:t>6</w:t>
            </w:r>
          </w:p>
        </w:tc>
        <w:tc>
          <w:tcPr>
            <w:tcW w:w="1339" w:type="dxa"/>
            <w:vMerge w:val="restart"/>
            <w:vAlign w:val="center"/>
          </w:tcPr>
          <w:p>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集成厨房</w:t>
            </w:r>
          </w:p>
        </w:tc>
        <w:tc>
          <w:tcPr>
            <w:tcW w:w="2126"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70%≤比例≤90%</w:t>
            </w:r>
          </w:p>
        </w:tc>
        <w:tc>
          <w:tcPr>
            <w:tcW w:w="1559" w:type="dxa"/>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3～6*</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集成卫生间</w:t>
            </w:r>
          </w:p>
        </w:tc>
        <w:tc>
          <w:tcPr>
            <w:tcW w:w="2126"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70%≤比例≤90%</w:t>
            </w:r>
          </w:p>
        </w:tc>
        <w:tc>
          <w:tcPr>
            <w:tcW w:w="1559" w:type="dxa"/>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3～6*</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vAlign w:val="center"/>
          </w:tcPr>
          <w:p>
            <w:pPr>
              <w:spacing w:line="560" w:lineRule="exact"/>
              <w:jc w:val="center"/>
              <w:rPr>
                <w:rFonts w:ascii="仿宋" w:hAnsi="仿宋" w:eastAsia="仿宋" w:cs="仿宋"/>
                <w:color w:val="000000"/>
                <w:szCs w:val="21"/>
              </w:rPr>
            </w:pPr>
          </w:p>
        </w:tc>
        <w:tc>
          <w:tcPr>
            <w:tcW w:w="3954"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管线分离</w:t>
            </w:r>
          </w:p>
        </w:tc>
        <w:tc>
          <w:tcPr>
            <w:tcW w:w="2126" w:type="dxa"/>
            <w:gridSpan w:val="2"/>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50%≤比例≤70%</w:t>
            </w:r>
          </w:p>
        </w:tc>
        <w:tc>
          <w:tcPr>
            <w:tcW w:w="1559" w:type="dxa"/>
            <w:vAlign w:val="center"/>
          </w:tcPr>
          <w:p>
            <w:pPr>
              <w:spacing w:line="560" w:lineRule="exact"/>
              <w:jc w:val="center"/>
              <w:rPr>
                <w:rFonts w:ascii="仿宋" w:hAnsi="仿宋" w:eastAsia="仿宋" w:cs="仿宋"/>
                <w:color w:val="0000FF"/>
                <w:szCs w:val="21"/>
              </w:rPr>
            </w:pPr>
            <w:r>
              <w:rPr>
                <w:rFonts w:hint="eastAsia" w:ascii="仿宋" w:hAnsi="仿宋" w:eastAsia="仿宋" w:cs="仿宋"/>
                <w:color w:val="0000FF"/>
                <w:szCs w:val="21"/>
              </w:rPr>
              <w:t>4～6*</w:t>
            </w:r>
          </w:p>
        </w:tc>
        <w:tc>
          <w:tcPr>
            <w:tcW w:w="1339" w:type="dxa"/>
            <w:vMerge w:val="continue"/>
            <w:vAlign w:val="center"/>
          </w:tcPr>
          <w:p>
            <w:pPr>
              <w:spacing w:line="56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71" w:type="dxa"/>
            <w:vMerge w:val="restart"/>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技术创新项</w:t>
            </w:r>
          </w:p>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（8分）</w:t>
            </w:r>
          </w:p>
        </w:tc>
        <w:tc>
          <w:tcPr>
            <w:tcW w:w="1725"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工程承包方式</w:t>
            </w:r>
          </w:p>
        </w:tc>
        <w:tc>
          <w:tcPr>
            <w:tcW w:w="2229"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工程总承包</w:t>
            </w:r>
          </w:p>
        </w:tc>
        <w:tc>
          <w:tcPr>
            <w:tcW w:w="3685" w:type="dxa"/>
            <w:gridSpan w:val="3"/>
            <w:vAlign w:val="center"/>
          </w:tcPr>
          <w:p>
            <w:pPr>
              <w:autoSpaceDE w:val="0"/>
              <w:autoSpaceDN w:val="0"/>
              <w:snapToGrid w:val="0"/>
              <w:spacing w:line="560" w:lineRule="exact"/>
              <w:jc w:val="center"/>
              <w:rPr>
                <w:rFonts w:ascii="仿宋" w:hAnsi="仿宋" w:eastAsia="仿宋" w:cs="仿宋"/>
                <w:color w:val="0000FF"/>
                <w:kern w:val="0"/>
                <w:szCs w:val="21"/>
              </w:rPr>
            </w:pPr>
            <w:r>
              <w:rPr>
                <w:rFonts w:hint="eastAsia" w:ascii="仿宋" w:hAnsi="仿宋" w:eastAsia="仿宋" w:cs="仿宋"/>
                <w:color w:val="0000FF"/>
                <w:kern w:val="0"/>
                <w:szCs w:val="21"/>
              </w:rPr>
              <w:t>2</w:t>
            </w:r>
          </w:p>
        </w:tc>
        <w:tc>
          <w:tcPr>
            <w:tcW w:w="1339" w:type="dxa"/>
            <w:vMerge w:val="restart"/>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71"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1725" w:type="dxa"/>
            <w:vMerge w:val="restart"/>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信息化</w:t>
            </w:r>
            <w:r>
              <w:rPr>
                <w:rFonts w:ascii="仿宋" w:hAnsi="仿宋" w:eastAsia="仿宋" w:cs="仿宋"/>
                <w:kern w:val="0"/>
                <w:szCs w:val="21"/>
              </w:rPr>
              <w:t>管理</w:t>
            </w:r>
          </w:p>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（含BIM技术）</w:t>
            </w:r>
          </w:p>
        </w:tc>
        <w:tc>
          <w:tcPr>
            <w:tcW w:w="2229"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设计阶段</w:t>
            </w:r>
          </w:p>
        </w:tc>
        <w:tc>
          <w:tcPr>
            <w:tcW w:w="3685" w:type="dxa"/>
            <w:gridSpan w:val="3"/>
            <w:vAlign w:val="center"/>
          </w:tcPr>
          <w:p>
            <w:pPr>
              <w:autoSpaceDE w:val="0"/>
              <w:autoSpaceDN w:val="0"/>
              <w:snapToGrid w:val="0"/>
              <w:spacing w:line="560" w:lineRule="exact"/>
              <w:jc w:val="center"/>
              <w:rPr>
                <w:rFonts w:ascii="仿宋" w:hAnsi="仿宋" w:eastAsia="仿宋" w:cs="仿宋"/>
                <w:color w:val="0000FF"/>
                <w:kern w:val="0"/>
                <w:szCs w:val="21"/>
              </w:rPr>
            </w:pPr>
            <w:r>
              <w:rPr>
                <w:rFonts w:ascii="仿宋" w:hAnsi="仿宋" w:eastAsia="仿宋" w:cs="仿宋"/>
                <w:color w:val="0000FF"/>
                <w:kern w:val="0"/>
                <w:szCs w:val="21"/>
              </w:rPr>
              <w:t>2</w:t>
            </w:r>
          </w:p>
        </w:tc>
        <w:tc>
          <w:tcPr>
            <w:tcW w:w="1339" w:type="dxa"/>
            <w:vMerge w:val="continue"/>
            <w:vAlign w:val="center"/>
          </w:tcPr>
          <w:p>
            <w:pPr>
              <w:autoSpaceDE w:val="0"/>
              <w:autoSpaceDN w:val="0"/>
              <w:snapToGrid w:val="0"/>
              <w:spacing w:line="560" w:lineRule="exact"/>
              <w:ind w:firstLine="624"/>
              <w:jc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71"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1725"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2229"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施工阶段</w:t>
            </w:r>
          </w:p>
        </w:tc>
        <w:tc>
          <w:tcPr>
            <w:tcW w:w="3685" w:type="dxa"/>
            <w:gridSpan w:val="3"/>
            <w:vAlign w:val="center"/>
          </w:tcPr>
          <w:p>
            <w:pPr>
              <w:autoSpaceDE w:val="0"/>
              <w:autoSpaceDN w:val="0"/>
              <w:snapToGrid w:val="0"/>
              <w:spacing w:line="560" w:lineRule="exact"/>
              <w:jc w:val="center"/>
              <w:rPr>
                <w:rFonts w:ascii="仿宋" w:hAnsi="仿宋" w:eastAsia="仿宋" w:cs="仿宋"/>
                <w:color w:val="0000FF"/>
                <w:kern w:val="0"/>
                <w:szCs w:val="21"/>
              </w:rPr>
            </w:pPr>
            <w:r>
              <w:rPr>
                <w:rFonts w:ascii="仿宋" w:hAnsi="仿宋" w:eastAsia="仿宋" w:cs="仿宋"/>
                <w:color w:val="0000FF"/>
                <w:kern w:val="0"/>
                <w:szCs w:val="21"/>
              </w:rPr>
              <w:t>1</w:t>
            </w:r>
          </w:p>
        </w:tc>
        <w:tc>
          <w:tcPr>
            <w:tcW w:w="1339" w:type="dxa"/>
            <w:vMerge w:val="continue"/>
            <w:vAlign w:val="center"/>
          </w:tcPr>
          <w:p>
            <w:pPr>
              <w:autoSpaceDE w:val="0"/>
              <w:autoSpaceDN w:val="0"/>
              <w:snapToGrid w:val="0"/>
              <w:spacing w:line="560" w:lineRule="exact"/>
              <w:ind w:firstLine="624"/>
              <w:jc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71"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1725"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2229"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运营阶段</w:t>
            </w:r>
          </w:p>
        </w:tc>
        <w:tc>
          <w:tcPr>
            <w:tcW w:w="3685" w:type="dxa"/>
            <w:gridSpan w:val="3"/>
            <w:vAlign w:val="center"/>
          </w:tcPr>
          <w:p>
            <w:pPr>
              <w:autoSpaceDE w:val="0"/>
              <w:autoSpaceDN w:val="0"/>
              <w:snapToGrid w:val="0"/>
              <w:spacing w:line="560" w:lineRule="exact"/>
              <w:jc w:val="center"/>
              <w:rPr>
                <w:rFonts w:ascii="仿宋" w:hAnsi="仿宋" w:eastAsia="仿宋" w:cs="仿宋"/>
                <w:color w:val="0000FF"/>
                <w:kern w:val="0"/>
                <w:szCs w:val="21"/>
              </w:rPr>
            </w:pPr>
            <w:r>
              <w:rPr>
                <w:rFonts w:hint="eastAsia" w:ascii="仿宋" w:hAnsi="仿宋" w:eastAsia="仿宋" w:cs="仿宋"/>
                <w:color w:val="0000FF"/>
                <w:kern w:val="0"/>
                <w:szCs w:val="21"/>
              </w:rPr>
              <w:t>1</w:t>
            </w:r>
          </w:p>
        </w:tc>
        <w:tc>
          <w:tcPr>
            <w:tcW w:w="1339" w:type="dxa"/>
            <w:vMerge w:val="continue"/>
            <w:vAlign w:val="center"/>
          </w:tcPr>
          <w:p>
            <w:pPr>
              <w:autoSpaceDE w:val="0"/>
              <w:autoSpaceDN w:val="0"/>
              <w:snapToGrid w:val="0"/>
              <w:spacing w:line="560" w:lineRule="exact"/>
              <w:ind w:firstLine="624"/>
              <w:jc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blHeader/>
          <w:jc w:val="center"/>
        </w:trPr>
        <w:tc>
          <w:tcPr>
            <w:tcW w:w="1271" w:type="dxa"/>
            <w:vMerge w:val="continue"/>
            <w:vAlign w:val="center"/>
          </w:tcPr>
          <w:p>
            <w:pPr>
              <w:autoSpaceDE w:val="0"/>
              <w:autoSpaceDN w:val="0"/>
              <w:snapToGrid w:val="0"/>
              <w:spacing w:line="560" w:lineRule="exact"/>
              <w:jc w:val="center"/>
              <w:rPr>
                <w:rFonts w:ascii="仿宋" w:hAnsi="仿宋" w:eastAsia="仿宋" w:cs="仿宋"/>
                <w:kern w:val="0"/>
                <w:szCs w:val="21"/>
              </w:rPr>
            </w:pPr>
          </w:p>
        </w:tc>
        <w:tc>
          <w:tcPr>
            <w:tcW w:w="3954" w:type="dxa"/>
            <w:gridSpan w:val="2"/>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应用新型模板系统</w:t>
            </w:r>
          </w:p>
        </w:tc>
        <w:tc>
          <w:tcPr>
            <w:tcW w:w="1752"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比例</w:t>
            </w:r>
            <w:r>
              <w:rPr>
                <w:rFonts w:hint="eastAsia" w:ascii="仿宋" w:hAnsi="仿宋" w:eastAsia="仿宋" w:cs="仿宋"/>
                <w:color w:val="000000"/>
                <w:szCs w:val="21"/>
              </w:rPr>
              <w:t>≥</w:t>
            </w:r>
            <w:r>
              <w:rPr>
                <w:rFonts w:hint="eastAsia" w:ascii="仿宋" w:hAnsi="仿宋" w:eastAsia="仿宋" w:cs="仿宋"/>
                <w:kern w:val="0"/>
                <w:szCs w:val="21"/>
              </w:rPr>
              <w:t>50%</w:t>
            </w:r>
          </w:p>
        </w:tc>
        <w:tc>
          <w:tcPr>
            <w:tcW w:w="1933" w:type="dxa"/>
            <w:gridSpan w:val="2"/>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color w:val="0000FF"/>
                <w:kern w:val="0"/>
                <w:szCs w:val="21"/>
              </w:rPr>
              <w:t>2</w:t>
            </w:r>
          </w:p>
        </w:tc>
        <w:tc>
          <w:tcPr>
            <w:tcW w:w="1339" w:type="dxa"/>
            <w:vAlign w:val="center"/>
          </w:tcPr>
          <w:p>
            <w:pPr>
              <w:autoSpaceDE w:val="0"/>
              <w:autoSpaceDN w:val="0"/>
              <w:snapToGrid w:val="0"/>
              <w:spacing w:line="560" w:lineRule="exact"/>
              <w:jc w:val="center"/>
              <w:rPr>
                <w:rFonts w:ascii="仿宋" w:hAnsi="仿宋" w:eastAsia="仿宋" w:cs="仿宋"/>
                <w:kern w:val="0"/>
                <w:szCs w:val="21"/>
              </w:rPr>
            </w:pPr>
            <w:r>
              <w:rPr>
                <w:rFonts w:hint="eastAsia" w:ascii="仿宋" w:hAnsi="仿宋" w:eastAsia="仿宋" w:cs="仿宋"/>
                <w:kern w:val="0"/>
                <w:szCs w:val="21"/>
              </w:rPr>
              <w:t>-</w:t>
            </w:r>
          </w:p>
        </w:tc>
      </w:tr>
    </w:tbl>
    <w:p>
      <w:pPr>
        <w:spacing w:line="560" w:lineRule="exact"/>
        <w:rPr>
          <w:rFonts w:ascii="仿宋" w:hAnsi="仿宋" w:eastAsia="仿宋" w:cs="仿宋"/>
          <w:color w:val="000000"/>
          <w:szCs w:val="21"/>
        </w:rPr>
      </w:pPr>
      <w:r>
        <w:rPr>
          <w:rFonts w:hint="eastAsia" w:ascii="仿宋" w:hAnsi="仿宋" w:eastAsia="仿宋" w:cs="仿宋"/>
          <w:color w:val="000000"/>
          <w:szCs w:val="21"/>
        </w:rPr>
        <w:t>注：表中带“*”项的分值采用“内插法”计算，计算结果取小数点后1位。</w:t>
      </w:r>
    </w:p>
    <w:p>
      <w:pPr>
        <w:spacing w:line="560" w:lineRule="exact"/>
        <w:ind w:firstLine="630" w:firstLineChars="196"/>
        <w:rPr>
          <w:rFonts w:ascii="仿宋" w:hAnsi="仿宋" w:eastAsia="仿宋" w:cs="仿宋"/>
          <w:b/>
          <w:color w:val="000000"/>
          <w:sz w:val="32"/>
          <w:szCs w:val="32"/>
        </w:rPr>
      </w:pPr>
    </w:p>
    <w:p>
      <w:pPr>
        <w:spacing w:line="560" w:lineRule="exact"/>
        <w:ind w:firstLine="630" w:firstLineChars="196"/>
        <w:rPr>
          <w:rFonts w:ascii="仿宋" w:hAnsi="仿宋" w:eastAsia="仿宋" w:cs="仿宋"/>
          <w:b/>
          <w:color w:val="000000"/>
          <w:sz w:val="32"/>
          <w:szCs w:val="32"/>
        </w:rPr>
      </w:pPr>
    </w:p>
    <w:p>
      <w:pPr>
        <w:spacing w:line="56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2.主体结构竖向构件中预制部件的应用比例计算方法：</w:t>
      </w:r>
    </w:p>
    <w:p>
      <w:pPr>
        <w:spacing w:line="560" w:lineRule="exact"/>
        <w:jc w:val="center"/>
        <w:rPr>
          <w:rFonts w:ascii="仿宋" w:hAnsi="仿宋" w:eastAsia="仿宋" w:cs="仿宋"/>
          <w:b/>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1a</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V</w:t>
      </w:r>
      <w:r>
        <w:rPr>
          <w:rFonts w:hint="eastAsia" w:ascii="仿宋" w:hAnsi="仿宋" w:eastAsia="仿宋" w:cs="仿宋"/>
          <w:b/>
          <w:bCs/>
          <w:i/>
          <w:color w:val="000000"/>
          <w:sz w:val="32"/>
          <w:szCs w:val="32"/>
          <w:vertAlign w:val="subscript"/>
        </w:rPr>
        <w:t>1a</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V</w:t>
      </w:r>
      <w:r>
        <w:rPr>
          <w:rFonts w:hint="eastAsia" w:ascii="仿宋" w:hAnsi="仿宋" w:eastAsia="仿宋" w:cs="仿宋"/>
          <w:b/>
          <w:bCs/>
          <w:color w:val="000000"/>
          <w:sz w:val="32"/>
          <w:szCs w:val="32"/>
        </w:rPr>
        <w:t>×100%</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1a</w:t>
      </w:r>
      <w:r>
        <w:rPr>
          <w:rFonts w:hint="eastAsia" w:ascii="仿宋" w:hAnsi="仿宋" w:eastAsia="仿宋" w:cs="仿宋"/>
          <w:color w:val="000000"/>
          <w:sz w:val="32"/>
          <w:szCs w:val="32"/>
        </w:rPr>
        <w:t>──主体结构竖向构件中预制部件的应用比例；</w:t>
      </w:r>
    </w:p>
    <w:p>
      <w:pPr>
        <w:spacing w:line="560" w:lineRule="exact"/>
        <w:ind w:firstLine="960" w:firstLineChars="300"/>
        <w:rPr>
          <w:rFonts w:ascii="仿宋" w:hAnsi="仿宋" w:eastAsia="仿宋" w:cs="仿宋"/>
          <w:color w:val="000000"/>
          <w:sz w:val="32"/>
          <w:szCs w:val="32"/>
        </w:rPr>
      </w:pPr>
      <w:r>
        <w:rPr>
          <w:rFonts w:hint="eastAsia" w:ascii="仿宋" w:hAnsi="仿宋" w:eastAsia="仿宋" w:cs="仿宋"/>
          <w:i/>
          <w:color w:val="000000"/>
          <w:sz w:val="32"/>
          <w:szCs w:val="32"/>
        </w:rPr>
        <w:t>V</w:t>
      </w:r>
      <w:r>
        <w:rPr>
          <w:rFonts w:hint="eastAsia" w:ascii="仿宋" w:hAnsi="仿宋" w:eastAsia="仿宋" w:cs="仿宋"/>
          <w:i/>
          <w:color w:val="000000"/>
          <w:sz w:val="32"/>
          <w:szCs w:val="32"/>
          <w:vertAlign w:val="subscript"/>
        </w:rPr>
        <w:t>1a</w:t>
      </w:r>
      <w:r>
        <w:rPr>
          <w:rFonts w:hint="eastAsia" w:ascii="仿宋" w:hAnsi="仿宋" w:eastAsia="仿宋" w:cs="仿宋"/>
          <w:color w:val="000000"/>
          <w:sz w:val="32"/>
          <w:szCs w:val="32"/>
        </w:rPr>
        <w:t>──主体结构竖向构件中列入装配式计算的现浇部件体积和预制部件体积之和；</w:t>
      </w:r>
    </w:p>
    <w:p>
      <w:pPr>
        <w:spacing w:line="560" w:lineRule="exact"/>
        <w:ind w:firstLine="960" w:firstLineChars="300"/>
        <w:rPr>
          <w:rFonts w:ascii="仿宋" w:hAnsi="仿宋" w:eastAsia="仿宋" w:cs="仿宋"/>
          <w:color w:val="000000"/>
          <w:sz w:val="32"/>
          <w:szCs w:val="32"/>
        </w:rPr>
      </w:pPr>
      <w:r>
        <w:rPr>
          <w:rFonts w:hint="eastAsia" w:ascii="仿宋" w:hAnsi="仿宋" w:eastAsia="仿宋" w:cs="仿宋"/>
          <w:i/>
          <w:color w:val="000000"/>
          <w:sz w:val="32"/>
          <w:szCs w:val="32"/>
        </w:rPr>
        <w:t>V</w:t>
      </w:r>
      <w:r>
        <w:rPr>
          <w:rFonts w:hint="eastAsia" w:ascii="仿宋" w:hAnsi="仿宋" w:eastAsia="仿宋" w:cs="仿宋"/>
          <w:color w:val="000000"/>
          <w:sz w:val="32"/>
          <w:szCs w:val="32"/>
        </w:rPr>
        <w:t>──主体结构竖向部件总体积。</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注：主体结构包括柱、支撑、承重墙、延性墙板等。</w:t>
      </w:r>
    </w:p>
    <w:p>
      <w:pPr>
        <w:spacing w:line="560" w:lineRule="exact"/>
        <w:ind w:firstLine="480" w:firstLineChars="200"/>
        <w:rPr>
          <w:rStyle w:val="12"/>
          <w:rFonts w:ascii="仿宋" w:hAnsi="仿宋" w:eastAsia="仿宋" w:cs="仿宋"/>
          <w:color w:val="000000"/>
          <w:sz w:val="24"/>
          <w:szCs w:val="24"/>
        </w:rPr>
      </w:pPr>
      <w:r>
        <w:rPr>
          <w:rFonts w:hint="eastAsia" w:ascii="仿宋" w:hAnsi="仿宋" w:eastAsia="仿宋" w:cs="仿宋"/>
          <w:color w:val="000000"/>
          <w:sz w:val="24"/>
          <w:szCs w:val="24"/>
        </w:rPr>
        <w:t>预制剪力墙板之间宽度不大于600mm的竖向现浇段和高度不大于300mm的水平后浇带、圈梁的后浇混凝土体积可计入</w:t>
      </w:r>
      <w:r>
        <w:rPr>
          <w:rFonts w:hint="eastAsia" w:ascii="仿宋" w:hAnsi="仿宋" w:eastAsia="仿宋" w:cs="仿宋"/>
          <w:i/>
          <w:color w:val="000000"/>
          <w:sz w:val="24"/>
          <w:szCs w:val="24"/>
        </w:rPr>
        <w:t>V</w:t>
      </w:r>
      <w:r>
        <w:rPr>
          <w:rFonts w:hint="eastAsia" w:ascii="仿宋" w:hAnsi="仿宋" w:eastAsia="仿宋" w:cs="仿宋"/>
          <w:i/>
          <w:color w:val="000000"/>
          <w:sz w:val="24"/>
          <w:szCs w:val="24"/>
          <w:vertAlign w:val="subscript"/>
        </w:rPr>
        <w:t>1a</w:t>
      </w:r>
      <w:r>
        <w:rPr>
          <w:rFonts w:hint="eastAsia" w:ascii="仿宋" w:hAnsi="仿宋" w:eastAsia="仿宋" w:cs="仿宋"/>
          <w:color w:val="000000"/>
          <w:sz w:val="24"/>
          <w:szCs w:val="24"/>
        </w:rPr>
        <w:t>中。</w:t>
      </w:r>
    </w:p>
    <w:p>
      <w:pPr>
        <w:spacing w:line="560" w:lineRule="exact"/>
        <w:ind w:firstLine="480" w:firstLineChars="200"/>
        <w:rPr>
          <w:rFonts w:ascii="仿宋" w:hAnsi="仿宋" w:eastAsia="仿宋" w:cs="仿宋"/>
          <w:color w:val="000000"/>
          <w:sz w:val="24"/>
          <w:szCs w:val="24"/>
        </w:rPr>
      </w:pPr>
      <w:r>
        <w:rPr>
          <w:rStyle w:val="12"/>
          <w:rFonts w:hint="eastAsia" w:ascii="仿宋" w:hAnsi="仿宋" w:eastAsia="仿宋" w:cs="仿宋"/>
          <w:color w:val="000000"/>
          <w:sz w:val="24"/>
          <w:szCs w:val="24"/>
        </w:rPr>
        <w:t>预制框架</w:t>
      </w:r>
      <w:r>
        <w:rPr>
          <w:rFonts w:hint="eastAsia" w:ascii="仿宋" w:hAnsi="仿宋" w:eastAsia="仿宋" w:cs="仿宋"/>
          <w:color w:val="000000"/>
          <w:sz w:val="24"/>
          <w:szCs w:val="24"/>
        </w:rPr>
        <w:t>柱和框架梁之间柱梁节点区的后浇混凝土体积可计入</w:t>
      </w:r>
      <w:r>
        <w:rPr>
          <w:rFonts w:hint="eastAsia" w:ascii="仿宋" w:hAnsi="仿宋" w:eastAsia="仿宋" w:cs="仿宋"/>
          <w:i/>
          <w:color w:val="000000"/>
          <w:sz w:val="24"/>
          <w:szCs w:val="24"/>
        </w:rPr>
        <w:t>V</w:t>
      </w:r>
      <w:r>
        <w:rPr>
          <w:rFonts w:hint="eastAsia" w:ascii="仿宋" w:hAnsi="仿宋" w:eastAsia="仿宋" w:cs="仿宋"/>
          <w:i/>
          <w:color w:val="000000"/>
          <w:sz w:val="24"/>
          <w:szCs w:val="24"/>
          <w:vertAlign w:val="subscript"/>
        </w:rPr>
        <w:t>1a</w:t>
      </w:r>
      <w:r>
        <w:rPr>
          <w:rFonts w:hint="eastAsia" w:ascii="仿宋" w:hAnsi="仿宋" w:eastAsia="仿宋" w:cs="仿宋"/>
          <w:color w:val="000000"/>
          <w:sz w:val="24"/>
          <w:szCs w:val="24"/>
        </w:rPr>
        <w:t>中。</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预制柱间高度不大于柱截面较小尺寸的连接区后浇混凝土体积可计入</w:t>
      </w:r>
      <w:r>
        <w:rPr>
          <w:rFonts w:hint="eastAsia" w:ascii="仿宋" w:hAnsi="仿宋" w:eastAsia="仿宋" w:cs="仿宋"/>
          <w:i/>
          <w:color w:val="000000"/>
          <w:sz w:val="24"/>
          <w:szCs w:val="24"/>
        </w:rPr>
        <w:t>V</w:t>
      </w:r>
      <w:r>
        <w:rPr>
          <w:rFonts w:hint="eastAsia" w:ascii="仿宋" w:hAnsi="仿宋" w:eastAsia="仿宋" w:cs="仿宋"/>
          <w:i/>
          <w:color w:val="000000"/>
          <w:sz w:val="24"/>
          <w:szCs w:val="24"/>
          <w:vertAlign w:val="subscript"/>
        </w:rPr>
        <w:t>1a</w:t>
      </w:r>
      <w:r>
        <w:rPr>
          <w:rFonts w:hint="eastAsia" w:ascii="仿宋" w:hAnsi="仿宋" w:eastAsia="仿宋" w:cs="仿宋"/>
          <w:color w:val="000000"/>
          <w:sz w:val="24"/>
          <w:szCs w:val="24"/>
        </w:rPr>
        <w:t>中。</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sz w:val="24"/>
          <w:szCs w:val="24"/>
        </w:rPr>
        <w:t>对于钢与混凝土组合结构形成的竖向承重部件，当钢构件同时作为外模板使用时，该组合部件按照预制部件计算。</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sz w:val="24"/>
          <w:szCs w:val="24"/>
        </w:rPr>
        <w:t>主体结构竖向构件采用全部钢结构或木结构部件时，竖向承重部件应用比例按</w:t>
      </w:r>
      <w:r>
        <w:rPr>
          <w:rFonts w:hint="eastAsia" w:ascii="仿宋" w:hAnsi="仿宋" w:eastAsia="仿宋" w:cs="仿宋"/>
          <w:color w:val="000000"/>
          <w:sz w:val="24"/>
          <w:szCs w:val="24"/>
        </w:rPr>
        <w:t>80%计算分</w:t>
      </w:r>
      <w:r>
        <w:rPr>
          <w:rFonts w:hint="eastAsia" w:ascii="仿宋" w:hAnsi="仿宋" w:eastAsia="仿宋" w:cs="仿宋"/>
          <w:sz w:val="24"/>
          <w:szCs w:val="24"/>
        </w:rPr>
        <w:t>值。</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双面叠合剪力墙内后浇混凝土体积计入预制混凝土体积计算。</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sz w:val="24"/>
          <w:szCs w:val="24"/>
        </w:rPr>
        <w:t>墙体与梁整体预制时，应分别计算到对应的主体结构、围护墙、内隔墙的体积或面积中。</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3.</w:t>
      </w:r>
      <w:r>
        <w:rPr>
          <w:rFonts w:hint="eastAsia" w:ascii="仿宋" w:hAnsi="仿宋" w:eastAsia="仿宋" w:cs="仿宋"/>
          <w:b/>
          <w:sz w:val="32"/>
          <w:szCs w:val="32"/>
        </w:rPr>
        <w:t>主体结构水平构件中应用预制部件的比例应按下列公式计算：</w:t>
      </w:r>
    </w:p>
    <w:p>
      <w:pPr>
        <w:pStyle w:val="13"/>
        <w:tabs>
          <w:tab w:val="left" w:pos="709"/>
        </w:tabs>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1c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1c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1</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1c</w:t>
      </w:r>
      <w:r>
        <w:rPr>
          <w:rFonts w:hint="eastAsia" w:ascii="仿宋" w:hAnsi="仿宋" w:eastAsia="仿宋" w:cs="仿宋"/>
          <w:color w:val="000000"/>
          <w:sz w:val="32"/>
          <w:szCs w:val="32"/>
        </w:rPr>
        <w:t>──梁、板、楼梯、阳台、空调板等构件中预制部件的应用比例；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1c</w:t>
      </w:r>
      <w:r>
        <w:rPr>
          <w:rFonts w:hint="eastAsia" w:ascii="仿宋" w:hAnsi="仿宋" w:eastAsia="仿宋" w:cs="仿宋"/>
          <w:color w:val="000000"/>
          <w:sz w:val="32"/>
          <w:szCs w:val="32"/>
        </w:rPr>
        <w:t>──各楼层中预制装配</w:t>
      </w:r>
      <w:bookmarkStart w:id="0" w:name="_Hlk512430997"/>
      <w:r>
        <w:rPr>
          <w:rFonts w:hint="eastAsia" w:ascii="仿宋" w:hAnsi="仿宋" w:eastAsia="仿宋" w:cs="仿宋"/>
          <w:color w:val="000000"/>
          <w:sz w:val="32"/>
          <w:szCs w:val="32"/>
        </w:rPr>
        <w:t>梁、板、楼梯、阳台、空调板</w:t>
      </w:r>
      <w:bookmarkEnd w:id="0"/>
      <w:r>
        <w:rPr>
          <w:rFonts w:hint="eastAsia" w:ascii="仿宋" w:hAnsi="仿宋" w:eastAsia="仿宋" w:cs="仿宋"/>
          <w:color w:val="000000"/>
          <w:sz w:val="32"/>
          <w:szCs w:val="32"/>
        </w:rPr>
        <w:t>等部件的水平投影面积之和；</w:t>
      </w:r>
    </w:p>
    <w:p>
      <w:pPr>
        <w:tabs>
          <w:tab w:val="left" w:pos="709"/>
        </w:tabs>
        <w:spacing w:line="560" w:lineRule="exact"/>
        <w:ind w:firstLine="976" w:firstLineChars="305"/>
        <w:rPr>
          <w:rFonts w:ascii="仿宋" w:hAnsi="仿宋" w:eastAsia="仿宋" w:cs="仿宋"/>
          <w:color w:val="000000"/>
          <w:sz w:val="32"/>
          <w:szCs w:val="32"/>
        </w:rPr>
      </w:pPr>
      <w:r>
        <w:rPr>
          <w:rFonts w:hint="eastAsia" w:ascii="仿宋" w:hAnsi="仿宋" w:eastAsia="仿宋" w:cs="仿宋"/>
          <w:i/>
          <w:color w:val="000000"/>
          <w:sz w:val="32"/>
          <w:szCs w:val="32"/>
        </w:rPr>
        <w:t>A</w:t>
      </w:r>
      <w:r>
        <w:rPr>
          <w:rFonts w:hint="eastAsia" w:ascii="仿宋" w:hAnsi="仿宋" w:eastAsia="仿宋" w:cs="仿宋"/>
          <w:i/>
          <w:color w:val="000000"/>
          <w:sz w:val="32"/>
          <w:szCs w:val="32"/>
          <w:vertAlign w:val="subscript"/>
        </w:rPr>
        <w:t>1</w:t>
      </w:r>
      <w:r>
        <w:rPr>
          <w:rFonts w:hint="eastAsia" w:ascii="仿宋" w:hAnsi="仿宋" w:eastAsia="仿宋" w:cs="仿宋"/>
          <w:color w:val="000000"/>
          <w:sz w:val="32"/>
          <w:szCs w:val="32"/>
        </w:rPr>
        <w:t>──各楼层建筑水平受力构件水平投影面积之和。</w:t>
      </w:r>
    </w:p>
    <w:p>
      <w:pPr>
        <w:tabs>
          <w:tab w:val="left" w:pos="709"/>
        </w:tabs>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注：梁包括预制混凝土梁，钢梁；板包括叠合楼板、预制楼板、密肋楼板、压型钢板组合楼板、预应力</w:t>
      </w:r>
      <w:r>
        <w:rPr>
          <w:rFonts w:ascii="仿宋" w:hAnsi="仿宋" w:eastAsia="仿宋" w:cs="仿宋"/>
          <w:sz w:val="24"/>
          <w:szCs w:val="24"/>
        </w:rPr>
        <w:t>空心楼板（</w:t>
      </w:r>
      <w:r>
        <w:rPr>
          <w:rFonts w:hint="eastAsia" w:ascii="仿宋" w:hAnsi="仿宋" w:eastAsia="仿宋" w:cs="仿宋"/>
          <w:sz w:val="24"/>
          <w:szCs w:val="24"/>
        </w:rPr>
        <w:t>SPD</w:t>
      </w:r>
      <w:r>
        <w:rPr>
          <w:rFonts w:ascii="仿宋" w:hAnsi="仿宋" w:eastAsia="仿宋" w:cs="仿宋"/>
          <w:sz w:val="24"/>
          <w:szCs w:val="24"/>
        </w:rPr>
        <w:t>）</w:t>
      </w:r>
      <w:r>
        <w:rPr>
          <w:rFonts w:hint="eastAsia" w:ascii="仿宋" w:hAnsi="仿宋" w:eastAsia="仿宋" w:cs="仿宋"/>
          <w:sz w:val="24"/>
          <w:szCs w:val="24"/>
        </w:rPr>
        <w:t>、钢筋桁架楼承板等免支模的楼板；楼梯包括预制混凝土楼梯、钢楼梯。</w:t>
      </w:r>
    </w:p>
    <w:p>
      <w:pPr>
        <w:tabs>
          <w:tab w:val="left" w:pos="709"/>
        </w:tabs>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预制部件间宽度不大于300mm时，该部分的水平投影面积可计入</w:t>
      </w:r>
      <w:r>
        <w:rPr>
          <w:rFonts w:hint="eastAsia" w:ascii="仿宋" w:hAnsi="仿宋" w:eastAsia="仿宋" w:cs="仿宋"/>
          <w:i/>
          <w:sz w:val="24"/>
          <w:szCs w:val="24"/>
        </w:rPr>
        <w:t>A</w:t>
      </w:r>
      <w:r>
        <w:rPr>
          <w:rFonts w:hint="eastAsia" w:ascii="仿宋" w:hAnsi="仿宋" w:eastAsia="仿宋" w:cs="仿宋"/>
          <w:i/>
          <w:sz w:val="24"/>
          <w:szCs w:val="24"/>
          <w:vertAlign w:val="subscript"/>
        </w:rPr>
        <w:t>1c</w:t>
      </w:r>
      <w:r>
        <w:rPr>
          <w:rFonts w:hint="eastAsia" w:ascii="仿宋" w:hAnsi="仿宋" w:eastAsia="仿宋" w:cs="仿宋"/>
          <w:sz w:val="24"/>
          <w:szCs w:val="24"/>
        </w:rPr>
        <w:t>中。</w:t>
      </w:r>
    </w:p>
    <w:p>
      <w:pPr>
        <w:tabs>
          <w:tab w:val="left" w:pos="709"/>
        </w:tabs>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预制楼板的水平投影面积，不计入与梁重叠部分。</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4.</w:t>
      </w:r>
      <w:bookmarkStart w:id="1" w:name="_Hlk512431656"/>
      <w:r>
        <w:rPr>
          <w:rFonts w:hint="eastAsia" w:ascii="仿宋" w:hAnsi="仿宋" w:eastAsia="仿宋" w:cs="仿宋"/>
          <w:b/>
          <w:color w:val="000000"/>
          <w:sz w:val="32"/>
          <w:szCs w:val="32"/>
        </w:rPr>
        <w:t>非承重围护墙中非砌筑墙体</w:t>
      </w:r>
      <w:bookmarkEnd w:id="1"/>
      <w:r>
        <w:rPr>
          <w:rFonts w:hint="eastAsia" w:ascii="仿宋" w:hAnsi="仿宋" w:eastAsia="仿宋" w:cs="仿宋"/>
          <w:b/>
          <w:color w:val="000000"/>
          <w:sz w:val="32"/>
          <w:szCs w:val="32"/>
        </w:rPr>
        <w:t>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2a</w:t>
      </w:r>
      <w:r>
        <w:rPr>
          <w:rFonts w:hint="eastAsia" w:ascii="仿宋" w:hAnsi="仿宋" w:eastAsia="仿宋" w:cs="仿宋"/>
          <w:b/>
          <w:bCs/>
          <w:color w:val="000000"/>
          <w:sz w:val="32"/>
          <w:szCs w:val="32"/>
        </w:rPr>
        <w:t xml:space="preserve"> =</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2a</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w1</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2a</w:t>
      </w:r>
      <w:r>
        <w:rPr>
          <w:rFonts w:hint="eastAsia" w:ascii="仿宋" w:hAnsi="仿宋" w:eastAsia="仿宋" w:cs="仿宋"/>
          <w:color w:val="000000"/>
          <w:sz w:val="32"/>
          <w:szCs w:val="32"/>
        </w:rPr>
        <w:t>──非承重围护墙中非砌筑墙体的应用比例；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2a</w:t>
      </w:r>
      <w:r>
        <w:rPr>
          <w:rFonts w:hint="eastAsia" w:ascii="仿宋" w:hAnsi="仿宋" w:eastAsia="仿宋" w:cs="仿宋"/>
          <w:color w:val="000000"/>
          <w:sz w:val="32"/>
          <w:szCs w:val="32"/>
        </w:rPr>
        <w:t>──各楼层非承重围护墙中非砌筑墙体的外表面积之和，计算时可不扣除门、窗及预留洞口等的面积；</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w1</w:t>
      </w:r>
      <w:r>
        <w:rPr>
          <w:rFonts w:hint="eastAsia" w:ascii="仿宋" w:hAnsi="仿宋" w:eastAsia="仿宋" w:cs="仿宋"/>
          <w:color w:val="000000"/>
          <w:sz w:val="32"/>
          <w:szCs w:val="32"/>
        </w:rPr>
        <w:t>──各楼层非承重围护墙外表面积总面积，计算时可不扣除门、窗及预留洞口等的面积。</w:t>
      </w:r>
    </w:p>
    <w:p>
      <w:pPr>
        <w:spacing w:line="560" w:lineRule="exact"/>
        <w:ind w:firstLine="470" w:firstLineChars="196"/>
        <w:rPr>
          <w:rFonts w:ascii="仿宋" w:hAnsi="仿宋" w:eastAsia="仿宋" w:cs="仿宋"/>
          <w:color w:val="000000"/>
          <w:sz w:val="24"/>
          <w:szCs w:val="24"/>
        </w:rPr>
      </w:pPr>
      <w:r>
        <w:rPr>
          <w:rFonts w:hint="eastAsia" w:ascii="仿宋" w:hAnsi="仿宋" w:eastAsia="仿宋" w:cs="仿宋"/>
          <w:color w:val="000000"/>
          <w:sz w:val="24"/>
          <w:szCs w:val="24"/>
        </w:rPr>
        <w:t>注：非砌筑类型墙体包括采用各种中大型板材、幕墙、预制</w:t>
      </w:r>
      <w:r>
        <w:rPr>
          <w:rFonts w:ascii="仿宋" w:hAnsi="仿宋" w:eastAsia="仿宋" w:cs="仿宋"/>
          <w:color w:val="000000"/>
          <w:sz w:val="24"/>
          <w:szCs w:val="24"/>
        </w:rPr>
        <w:t>非承重混凝土外墙、</w:t>
      </w:r>
      <w:r>
        <w:rPr>
          <w:rFonts w:hint="eastAsia" w:ascii="仿宋" w:hAnsi="仿宋" w:eastAsia="仿宋" w:cs="仿宋"/>
          <w:color w:val="000000"/>
          <w:sz w:val="24"/>
          <w:szCs w:val="24"/>
        </w:rPr>
        <w:t>木骨架或轻钢龙骨复合墙体等，满足工厂生产、现场安装、以“干法”施工为主的要求</w:t>
      </w:r>
      <w:r>
        <w:rPr>
          <w:rFonts w:hint="eastAsia" w:ascii="仿宋" w:hAnsi="仿宋" w:eastAsia="仿宋" w:cs="仿宋"/>
          <w:sz w:val="24"/>
          <w:szCs w:val="24"/>
        </w:rPr>
        <w:t>，应在工厂制作完成、现场安装。</w:t>
      </w:r>
    </w:p>
    <w:p>
      <w:pPr>
        <w:spacing w:line="560" w:lineRule="exact"/>
        <w:ind w:firstLine="630" w:firstLineChars="196"/>
        <w:rPr>
          <w:rFonts w:ascii="仿宋" w:hAnsi="仿宋" w:eastAsia="仿宋" w:cs="仿宋"/>
          <w:color w:val="000000"/>
          <w:sz w:val="32"/>
          <w:szCs w:val="32"/>
        </w:rPr>
      </w:pPr>
      <w:r>
        <w:rPr>
          <w:rFonts w:hint="eastAsia" w:ascii="仿宋" w:hAnsi="仿宋" w:eastAsia="仿宋" w:cs="仿宋"/>
          <w:b/>
          <w:color w:val="000000"/>
          <w:sz w:val="32"/>
          <w:szCs w:val="32"/>
        </w:rPr>
        <w:t>5.围护墙采用</w:t>
      </w:r>
      <w:bookmarkStart w:id="2" w:name="_Hlk511920603"/>
      <w:r>
        <w:rPr>
          <w:rFonts w:hint="eastAsia" w:ascii="仿宋" w:hAnsi="仿宋" w:eastAsia="仿宋" w:cs="仿宋"/>
          <w:b/>
          <w:color w:val="000000"/>
          <w:sz w:val="32"/>
          <w:szCs w:val="32"/>
        </w:rPr>
        <w:t>墙体、保温、隔热、装饰一体化或采用墙体、保温、隔热一体化的</w:t>
      </w:r>
      <w:bookmarkEnd w:id="2"/>
      <w:r>
        <w:rPr>
          <w:rFonts w:hint="eastAsia" w:ascii="仿宋" w:hAnsi="仿宋" w:eastAsia="仿宋" w:cs="仿宋"/>
          <w:b/>
          <w:color w:val="000000"/>
          <w:sz w:val="32"/>
          <w:szCs w:val="32"/>
        </w:rPr>
        <w:t>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2b</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2b</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w2</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2b</w:t>
      </w:r>
      <w:r>
        <w:rPr>
          <w:rFonts w:hint="eastAsia" w:ascii="仿宋" w:hAnsi="仿宋" w:eastAsia="仿宋" w:cs="仿宋"/>
          <w:color w:val="000000"/>
          <w:sz w:val="32"/>
          <w:szCs w:val="32"/>
        </w:rPr>
        <w:t>──围护墙采用墙体、保温、隔热、装饰一体化或采用墙体、保温、隔热一体化的应用比例；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2b</w:t>
      </w:r>
      <w:r>
        <w:rPr>
          <w:rFonts w:hint="eastAsia" w:ascii="仿宋" w:hAnsi="仿宋" w:eastAsia="仿宋" w:cs="仿宋"/>
          <w:color w:val="000000"/>
          <w:sz w:val="32"/>
          <w:szCs w:val="32"/>
        </w:rPr>
        <w:t>──各楼层围护墙采用墙体、保温、隔热、装饰一体化或采用墙体、保温、隔热一体化的墙面外表面积之和，计算时可不扣除门、窗及预留洞口等的面积；</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w2</w:t>
      </w:r>
      <w:r>
        <w:rPr>
          <w:rFonts w:hint="eastAsia" w:ascii="仿宋" w:hAnsi="仿宋" w:eastAsia="仿宋" w:cs="仿宋"/>
          <w:color w:val="000000"/>
          <w:sz w:val="32"/>
          <w:szCs w:val="32"/>
        </w:rPr>
        <w:t>──各楼层围护墙外表面积总面积，计算时可不扣除门、窗及预留洞口等的面积。</w:t>
      </w:r>
    </w:p>
    <w:p>
      <w:pPr>
        <w:spacing w:line="560" w:lineRule="exact"/>
        <w:ind w:firstLine="470" w:firstLineChars="196"/>
        <w:rPr>
          <w:rFonts w:ascii="仿宋" w:hAnsi="仿宋" w:eastAsia="仿宋" w:cs="仿宋"/>
          <w:color w:val="000000"/>
          <w:sz w:val="24"/>
          <w:szCs w:val="24"/>
        </w:rPr>
      </w:pPr>
      <w:r>
        <w:rPr>
          <w:rFonts w:hint="eastAsia" w:ascii="仿宋" w:hAnsi="仿宋" w:eastAsia="仿宋" w:cs="仿宋"/>
          <w:color w:val="000000"/>
          <w:sz w:val="24"/>
          <w:szCs w:val="24"/>
        </w:rPr>
        <w:t>注：围护墙采用墙体、保温、隔热、装饰一体化强调的是“集成性”，通过集成，满足结构、保温、隔热、装饰要求。同时还强调了从设计阶段需进行一体化集成设计，实现多功能一体的“围护墙系统”。</w:t>
      </w:r>
    </w:p>
    <w:p>
      <w:pPr>
        <w:spacing w:line="560" w:lineRule="exact"/>
        <w:ind w:firstLine="630" w:firstLineChars="196"/>
        <w:rPr>
          <w:rFonts w:ascii="仿宋" w:hAnsi="仿宋" w:eastAsia="仿宋" w:cs="仿宋"/>
          <w:color w:val="000000"/>
          <w:sz w:val="32"/>
          <w:szCs w:val="32"/>
        </w:rPr>
      </w:pPr>
      <w:r>
        <w:rPr>
          <w:rFonts w:hint="eastAsia" w:ascii="仿宋" w:hAnsi="仿宋" w:eastAsia="仿宋" w:cs="仿宋"/>
          <w:b/>
          <w:color w:val="000000"/>
          <w:sz w:val="32"/>
          <w:szCs w:val="32"/>
        </w:rPr>
        <w:t>6.内隔墙中非砌筑墙体的应用比例应按下列公式计算：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2c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2c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w3</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2c</w:t>
      </w:r>
      <w:r>
        <w:rPr>
          <w:rFonts w:hint="eastAsia" w:ascii="仿宋" w:hAnsi="仿宋" w:eastAsia="仿宋" w:cs="仿宋"/>
          <w:color w:val="000000"/>
          <w:sz w:val="32"/>
          <w:szCs w:val="32"/>
        </w:rPr>
        <w:t>──内隔墙中非砌筑墙体的应用比例；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2c</w:t>
      </w:r>
      <w:r>
        <w:rPr>
          <w:rFonts w:hint="eastAsia" w:ascii="仿宋" w:hAnsi="仿宋" w:eastAsia="仿宋" w:cs="仿宋"/>
          <w:color w:val="000000"/>
          <w:sz w:val="32"/>
          <w:szCs w:val="32"/>
        </w:rPr>
        <w:t>──各楼层内隔墙中非砌筑墙体的墙面面积之和，计算时可不扣除门、窗及预留洞口等的面积；</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w3</w:t>
      </w:r>
      <w:r>
        <w:rPr>
          <w:rFonts w:hint="eastAsia" w:ascii="仿宋" w:hAnsi="仿宋" w:eastAsia="仿宋" w:cs="仿宋"/>
          <w:color w:val="000000"/>
          <w:sz w:val="32"/>
          <w:szCs w:val="32"/>
        </w:rPr>
        <w:t>──</w:t>
      </w:r>
      <w:bookmarkStart w:id="3" w:name="_Hlk512432353"/>
      <w:r>
        <w:rPr>
          <w:rFonts w:hint="eastAsia" w:ascii="仿宋" w:hAnsi="仿宋" w:eastAsia="仿宋" w:cs="仿宋"/>
          <w:color w:val="000000"/>
          <w:sz w:val="32"/>
          <w:szCs w:val="32"/>
        </w:rPr>
        <w:t>各楼层内隔墙墙面总面积，计算时可不扣除门、窗及预留洞口等的面积。</w:t>
      </w:r>
      <w:bookmarkEnd w:id="3"/>
    </w:p>
    <w:p>
      <w:pPr>
        <w:spacing w:line="560" w:lineRule="exact"/>
        <w:ind w:firstLine="470" w:firstLineChars="196"/>
        <w:rPr>
          <w:rFonts w:ascii="仿宋" w:hAnsi="仿宋" w:eastAsia="仿宋" w:cs="仿宋"/>
          <w:color w:val="000000"/>
          <w:sz w:val="24"/>
          <w:szCs w:val="24"/>
        </w:rPr>
      </w:pPr>
      <w:r>
        <w:rPr>
          <w:rFonts w:hint="eastAsia" w:ascii="仿宋" w:hAnsi="仿宋" w:eastAsia="仿宋" w:cs="仿宋"/>
          <w:color w:val="000000"/>
          <w:sz w:val="24"/>
          <w:szCs w:val="24"/>
        </w:rPr>
        <w:t>注：非砌筑类型墙体包括采用各种中大型板材、幕墙、木骨架或轻钢龙骨复合墙体等，满足工厂生产、现场安装、以“干法”施工为主的要求</w:t>
      </w:r>
      <w:r>
        <w:rPr>
          <w:rFonts w:hint="eastAsia" w:ascii="仿宋" w:hAnsi="仿宋" w:eastAsia="仿宋" w:cs="仿宋"/>
          <w:sz w:val="24"/>
          <w:szCs w:val="24"/>
        </w:rPr>
        <w:t>，应在工厂制作完成、现场安装。</w:t>
      </w:r>
    </w:p>
    <w:p>
      <w:pPr>
        <w:spacing w:line="560" w:lineRule="exact"/>
        <w:ind w:firstLine="630" w:firstLineChars="196"/>
        <w:rPr>
          <w:rFonts w:ascii="仿宋" w:hAnsi="仿宋" w:eastAsia="仿宋" w:cs="仿宋"/>
          <w:color w:val="000000"/>
          <w:sz w:val="32"/>
          <w:szCs w:val="32"/>
        </w:rPr>
      </w:pPr>
      <w:r>
        <w:rPr>
          <w:rFonts w:hint="eastAsia" w:ascii="仿宋" w:hAnsi="仿宋" w:eastAsia="仿宋" w:cs="仿宋"/>
          <w:b/>
          <w:color w:val="000000"/>
          <w:sz w:val="32"/>
          <w:szCs w:val="32"/>
        </w:rPr>
        <w:t>7.内隔墙</w:t>
      </w:r>
      <w:bookmarkStart w:id="4" w:name="_Hlk511920862"/>
      <w:r>
        <w:rPr>
          <w:rFonts w:hint="eastAsia" w:ascii="仿宋" w:hAnsi="仿宋" w:eastAsia="仿宋" w:cs="仿宋"/>
          <w:b/>
          <w:color w:val="000000"/>
          <w:sz w:val="32"/>
          <w:szCs w:val="32"/>
        </w:rPr>
        <w:t>采用墙体、管线、装修一体化</w:t>
      </w:r>
      <w:bookmarkEnd w:id="4"/>
      <w:r>
        <w:rPr>
          <w:rFonts w:hint="eastAsia" w:ascii="仿宋" w:hAnsi="仿宋" w:eastAsia="仿宋" w:cs="仿宋"/>
          <w:b/>
          <w:color w:val="000000"/>
          <w:sz w:val="32"/>
          <w:szCs w:val="32"/>
        </w:rPr>
        <w:t>或采用墙体、管线一体化的应用比例应按下列公式计算：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2d</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2d</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w3</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2d</w:t>
      </w:r>
      <w:r>
        <w:rPr>
          <w:rFonts w:hint="eastAsia" w:ascii="仿宋" w:hAnsi="仿宋" w:eastAsia="仿宋" w:cs="仿宋"/>
          <w:color w:val="000000"/>
          <w:sz w:val="32"/>
          <w:szCs w:val="32"/>
        </w:rPr>
        <w:t>──内隔墙采用墙体、管线、装修一体化采用墙体、管线一体化的应用比例；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2d</w:t>
      </w:r>
      <w:r>
        <w:rPr>
          <w:rFonts w:hint="eastAsia" w:ascii="仿宋" w:hAnsi="仿宋" w:eastAsia="仿宋" w:cs="仿宋"/>
          <w:color w:val="000000"/>
          <w:sz w:val="32"/>
          <w:szCs w:val="32"/>
        </w:rPr>
        <w:t>──各楼层内隔墙采用墙体、管线、装修一体化采用墙体、管线一体化的墙面面积之和，计算时可不扣除门、窗及预留洞口等的面积。</w:t>
      </w:r>
    </w:p>
    <w:p>
      <w:pPr>
        <w:tabs>
          <w:tab w:val="left" w:pos="709"/>
        </w:tabs>
        <w:spacing w:line="5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注：内隔墙采用墙体、管线、装修一体化强调的是“集成性”。内隔墙从设计阶段就需进行一体化集成设计，在管线综合设计的基础上，实现墙体与管线的集成以及土建与装修的一体化，从而形成“内隔墙系统”。</w:t>
      </w:r>
    </w:p>
    <w:p>
      <w:pPr>
        <w:tabs>
          <w:tab w:val="left" w:pos="709"/>
        </w:tabs>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8.全装修应符合下列规定：</w:t>
      </w:r>
    </w:p>
    <w:p>
      <w:pPr>
        <w:pStyle w:val="7"/>
        <w:shd w:val="clear" w:color="auto" w:fill="FFFFFF"/>
        <w:spacing w:before="0" w:beforeAutospacing="0" w:after="0" w:afterAutospacing="0" w:line="560" w:lineRule="exact"/>
        <w:ind w:firstLine="640"/>
        <w:jc w:val="both"/>
        <w:rPr>
          <w:rFonts w:ascii="仿宋" w:hAnsi="仿宋" w:eastAsia="仿宋" w:cs="仿宋"/>
          <w:bCs/>
          <w:color w:val="000000"/>
          <w:sz w:val="32"/>
          <w:szCs w:val="32"/>
        </w:rPr>
      </w:pPr>
      <w:r>
        <w:rPr>
          <w:rFonts w:hint="eastAsia" w:ascii="仿宋_GB2312" w:hAnsi="仿宋" w:eastAsia="仿宋_GB2312" w:cs="仿宋"/>
          <w:color w:val="000000"/>
          <w:sz w:val="32"/>
          <w:szCs w:val="32"/>
        </w:rPr>
        <w:t>（1）</w:t>
      </w:r>
      <w:r>
        <w:rPr>
          <w:rFonts w:hint="eastAsia" w:ascii="仿宋" w:hAnsi="仿宋" w:eastAsia="仿宋" w:cs="仿宋"/>
          <w:bCs/>
          <w:color w:val="000000"/>
          <w:sz w:val="32"/>
          <w:szCs w:val="32"/>
        </w:rPr>
        <w:t>居住建筑全装修应包括所有建筑功能区地面、墙面和顶面的装饰面、设备管线和其他与防火、防水（潮）、防腐、隔声（振）等建筑性能相关的功能性材料及其连接材料等安装完毕，厨房与卫生间的基本设备全部安装完成。其中：</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楼地面宜采用干式工法施工，铺装材料宜采用瓷砖、石材、木地板等成品装饰材料，并铺装到位；厨房、卫生间宜采用同层排水。</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墙面宜采用满足干式工法施工要求的部品，结合管线分离进行集成设计。底层墙面、贴近用水房间的墙面应采取防潮、防霉的构造措施，客厅、餐厅、卧室、玄关等宜采用干式部品安装或乳胶漆粉刷完毕，踢脚线铺贴完毕。卫生间、厨房、阳台等墙面宜采用瓷砖铺贴完毕。</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吊顶系统设计应满足室内净高的需求，厨房、卫生间宜采用集成吊顶，并与灯具、排风扇等设备设施集成安装到位。在吊顶内设备管线集中部位应设置检修口。</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采暖系统宜采用干式工法施工的地面辐射供暖方式，并与楼地面集成设计安装完毕，地面辐射供暖系统宜与装配式楼地面的连接构造集成，散热器的安装位置应能使室内温度均匀分布。</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给水管道及排水管道宜与结构体分离，宜采用同层排水，设置冷热水标识，应符合现行标准要求。</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强、弱电管线宜与主体结构分离，面板、线盒及配电箱等应与内装部品集成设计，套内各功能空间宜合理设置各类弱电插座及配套线路，各类弱电插座及线路的数量应满足《住宅设计规范》（GB 50096）等标准要求。</w:t>
      </w:r>
    </w:p>
    <w:p>
      <w:pPr>
        <w:tabs>
          <w:tab w:val="left" w:pos="709"/>
        </w:tabs>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厨房中的应有设施包括灶具、洗涤池、操作台、排油烟机、电器插座、顶灯、冰箱位及接口；卫生间中的应有设施包括浴缸或淋浴器、便器、洗面盆、镜（箱）、镜灯、排风扇（风道）、电器插座、顶灯。</w:t>
      </w:r>
    </w:p>
    <w:p>
      <w:pPr>
        <w:tabs>
          <w:tab w:val="left" w:pos="709"/>
        </w:tabs>
        <w:spacing w:line="560" w:lineRule="exact"/>
        <w:ind w:firstLine="640" w:firstLineChars="200"/>
        <w:rPr>
          <w:rFonts w:ascii="仿宋_GB2312" w:hAnsi="仿宋" w:eastAsia="仿宋_GB2312" w:cs="仿宋"/>
          <w:color w:val="000000"/>
          <w:sz w:val="32"/>
          <w:szCs w:val="32"/>
        </w:rPr>
      </w:pPr>
      <w:r>
        <w:rPr>
          <w:rFonts w:hint="eastAsia" w:ascii="仿宋" w:hAnsi="仿宋" w:eastAsia="仿宋" w:cs="仿宋"/>
          <w:bCs/>
          <w:color w:val="000000"/>
          <w:sz w:val="32"/>
          <w:szCs w:val="32"/>
        </w:rPr>
        <w:t>（2）公共建筑全装修应包括建筑的公共区域和在建造阶段已确定使用功能及标准的全部室内区域，其地面、墙面和顶面的装饰面、设备管线和其他与防火、防水（潮）、防腐、隔声（振）等建筑性能相关的功能性材料及其连接材料等的安装。对于建筑建造阶段尚未确定使用功能及标准的室内区域，应根据装配式建筑的基本特征和要求，在设计文件中对室内装修方式、安装构造要求、材料性能及环境保护标准等做出明确的设计规定。</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（3）对合同规定毛坯房交付的保障性住房（含还建房）根据业主需求进行</w:t>
      </w:r>
      <w:r>
        <w:rPr>
          <w:rFonts w:ascii="仿宋_GB2312" w:hAnsi="仿宋" w:eastAsia="仿宋_GB2312" w:cs="仿宋"/>
          <w:color w:val="000000"/>
          <w:sz w:val="32"/>
          <w:szCs w:val="32"/>
        </w:rPr>
        <w:t>全装修。</w:t>
      </w:r>
    </w:p>
    <w:p>
      <w:pPr>
        <w:pStyle w:val="7"/>
        <w:shd w:val="clear" w:color="auto" w:fill="FFFFFF"/>
        <w:spacing w:before="0" w:beforeAutospacing="0" w:after="0" w:afterAutospacing="0" w:line="560" w:lineRule="exact"/>
        <w:ind w:firstLine="640"/>
        <w:jc w:val="both"/>
        <w:rPr>
          <w:rFonts w:ascii="仿宋" w:hAnsi="仿宋" w:eastAsia="仿宋" w:cs="仿宋"/>
          <w:spacing w:val="-4"/>
          <w:sz w:val="32"/>
          <w:szCs w:val="32"/>
        </w:rPr>
      </w:pPr>
      <w:r>
        <w:rPr>
          <w:rFonts w:hint="eastAsia" w:ascii="仿宋_GB2312" w:hAnsi="仿宋_GB2312" w:eastAsia="仿宋_GB2312" w:cs="仿宋_GB2312"/>
          <w:color w:val="000000"/>
          <w:sz w:val="32"/>
          <w:szCs w:val="32"/>
        </w:rPr>
        <w:t>（4）全装修应采用建筑、装修一体化设计和工程总承包管理</w:t>
      </w:r>
      <w:r>
        <w:rPr>
          <w:rFonts w:hint="eastAsia" w:ascii="仿宋" w:hAnsi="仿宋" w:eastAsia="仿宋"/>
          <w:color w:val="000000"/>
          <w:sz w:val="32"/>
          <w:szCs w:val="32"/>
        </w:rPr>
        <w:t>，鼓励使用装修部品</w:t>
      </w:r>
      <w:r>
        <w:rPr>
          <w:rFonts w:hint="eastAsia" w:ascii="仿宋_GB2312" w:hAnsi="仿宋_GB2312" w:eastAsia="仿宋_GB2312" w:cs="仿宋_GB2312"/>
          <w:color w:val="000000"/>
          <w:sz w:val="32"/>
          <w:szCs w:val="32"/>
        </w:rPr>
        <w:t>。房地产开发企业应在销售楼盘内建造交付标准样板房，向购房人明确展示交房标准。</w:t>
      </w:r>
    </w:p>
    <w:p>
      <w:pPr>
        <w:tabs>
          <w:tab w:val="left" w:pos="709"/>
        </w:tabs>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9.</w:t>
      </w:r>
      <w:bookmarkStart w:id="5" w:name="_Hlk511921532"/>
      <w:r>
        <w:rPr>
          <w:rFonts w:hint="eastAsia" w:ascii="仿宋" w:hAnsi="仿宋" w:eastAsia="仿宋" w:cs="仿宋"/>
          <w:b/>
          <w:color w:val="000000"/>
          <w:sz w:val="32"/>
          <w:szCs w:val="32"/>
        </w:rPr>
        <w:t>干式工法楼面、地面</w:t>
      </w:r>
      <w:bookmarkEnd w:id="5"/>
      <w:r>
        <w:rPr>
          <w:rFonts w:hint="eastAsia" w:ascii="仿宋" w:hAnsi="仿宋" w:eastAsia="仿宋" w:cs="仿宋"/>
          <w:b/>
          <w:color w:val="000000"/>
          <w:sz w:val="32"/>
          <w:szCs w:val="32"/>
        </w:rPr>
        <w:t>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3a</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3a</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3a</w:t>
      </w:r>
      <w:r>
        <w:rPr>
          <w:rFonts w:hint="eastAsia" w:ascii="仿宋" w:hAnsi="仿宋" w:eastAsia="仿宋" w:cs="仿宋"/>
          <w:color w:val="000000"/>
          <w:sz w:val="32"/>
          <w:szCs w:val="32"/>
        </w:rPr>
        <w:t>──干式工法楼面、地面的应用比例；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3a</w:t>
      </w:r>
      <w:r>
        <w:rPr>
          <w:rFonts w:hint="eastAsia" w:ascii="仿宋" w:hAnsi="仿宋" w:eastAsia="仿宋" w:cs="仿宋"/>
          <w:color w:val="000000"/>
          <w:sz w:val="32"/>
          <w:szCs w:val="32"/>
        </w:rPr>
        <w:t>──各楼层采用干式工法楼面、地面的水平投影面积之和；</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color w:val="000000"/>
          <w:sz w:val="32"/>
          <w:szCs w:val="32"/>
        </w:rPr>
        <w:t>──各楼层扣除</w:t>
      </w:r>
      <w:r>
        <w:rPr>
          <w:rFonts w:ascii="仿宋" w:hAnsi="仿宋" w:eastAsia="仿宋" w:cs="仿宋"/>
          <w:color w:val="000000"/>
          <w:sz w:val="32"/>
          <w:szCs w:val="32"/>
        </w:rPr>
        <w:t>厨房、卫生间后的建筑水平受力构件水平投影面积之和</w:t>
      </w:r>
      <w:r>
        <w:rPr>
          <w:rFonts w:hint="eastAsia" w:ascii="仿宋" w:hAnsi="仿宋" w:eastAsia="仿宋" w:cs="仿宋"/>
          <w:color w:val="000000"/>
          <w:sz w:val="32"/>
          <w:szCs w:val="32"/>
        </w:rPr>
        <w:t>。</w:t>
      </w:r>
    </w:p>
    <w:p>
      <w:pPr>
        <w:spacing w:line="560" w:lineRule="exact"/>
        <w:ind w:firstLine="480" w:firstLineChars="200"/>
        <w:rPr>
          <w:rFonts w:ascii="仿宋" w:hAnsi="仿宋" w:eastAsia="仿宋" w:cs="仿宋"/>
          <w:color w:val="000000"/>
          <w:sz w:val="24"/>
          <w:szCs w:val="24"/>
        </w:rPr>
      </w:pPr>
      <w:r>
        <w:rPr>
          <w:rFonts w:hint="eastAsia" w:ascii="仿宋" w:hAnsi="仿宋" w:eastAsia="仿宋" w:cs="仿宋"/>
          <w:sz w:val="24"/>
          <w:szCs w:val="24"/>
        </w:rPr>
        <w:t>注：干式工法，指无水作业的施工方式。干式工法楼、地面指除厨房、卫生间外的干式工法建筑楼、地面。设置在保温层下部的现浇找平、结合层不计入干式工法楼、地面的要求。如项目未设置保温层，则干式工法不应采用现浇找平层。</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10.集成厨房的橱柜和厨房设备等应全部安装到位，墙面、顶面和地面中干式工法的应用比例应按下列公式计算：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3b</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3b</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k</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3b</w:t>
      </w:r>
      <w:r>
        <w:rPr>
          <w:rFonts w:hint="eastAsia" w:ascii="仿宋" w:hAnsi="仿宋" w:eastAsia="仿宋" w:cs="仿宋"/>
          <w:color w:val="000000"/>
          <w:sz w:val="32"/>
          <w:szCs w:val="32"/>
        </w:rPr>
        <w:t>──集成厨房干式工法的应用比例；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3b</w:t>
      </w:r>
      <w:r>
        <w:rPr>
          <w:rFonts w:hint="eastAsia" w:ascii="仿宋" w:hAnsi="仿宋" w:eastAsia="仿宋" w:cs="仿宋"/>
          <w:color w:val="000000"/>
          <w:sz w:val="32"/>
          <w:szCs w:val="32"/>
        </w:rPr>
        <w:t>──各楼层厨房墙面、顶面和地面采用干式工法面积之和；</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k</w:t>
      </w:r>
      <w:r>
        <w:rPr>
          <w:rFonts w:hint="eastAsia" w:ascii="仿宋" w:hAnsi="仿宋" w:eastAsia="仿宋" w:cs="仿宋"/>
          <w:color w:val="000000"/>
          <w:sz w:val="32"/>
          <w:szCs w:val="32"/>
        </w:rPr>
        <w:t>──各楼层厨房的墙面、顶面和地面的总面积。</w:t>
      </w:r>
    </w:p>
    <w:p>
      <w:pPr>
        <w:spacing w:line="560" w:lineRule="exact"/>
        <w:ind w:firstLine="630" w:firstLineChars="196"/>
        <w:rPr>
          <w:rFonts w:ascii="仿宋" w:hAnsi="仿宋" w:eastAsia="仿宋" w:cs="仿宋"/>
          <w:color w:val="000000"/>
          <w:sz w:val="32"/>
          <w:szCs w:val="32"/>
        </w:rPr>
      </w:pPr>
      <w:r>
        <w:rPr>
          <w:rFonts w:hint="eastAsia" w:ascii="仿宋" w:hAnsi="仿宋" w:eastAsia="仿宋" w:cs="仿宋"/>
          <w:b/>
          <w:color w:val="000000"/>
          <w:sz w:val="32"/>
          <w:szCs w:val="32"/>
        </w:rPr>
        <w:t>11.集成卫生间的洁具设备等应全部安装到位，墙面、顶面和地面中干式工法的应用比例应按下列公式计算：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3c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3c</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A</w:t>
      </w:r>
      <w:r>
        <w:rPr>
          <w:rFonts w:hint="eastAsia" w:ascii="仿宋" w:hAnsi="仿宋" w:eastAsia="仿宋" w:cs="仿宋"/>
          <w:b/>
          <w:bCs/>
          <w:i/>
          <w:color w:val="000000"/>
          <w:sz w:val="32"/>
          <w:szCs w:val="32"/>
          <w:vertAlign w:val="subscript"/>
        </w:rPr>
        <w:t>b</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3c</w:t>
      </w:r>
      <w:r>
        <w:rPr>
          <w:rFonts w:hint="eastAsia" w:ascii="仿宋" w:hAnsi="仿宋" w:eastAsia="仿宋" w:cs="仿宋"/>
          <w:color w:val="000000"/>
          <w:sz w:val="32"/>
          <w:szCs w:val="32"/>
        </w:rPr>
        <w:t>──集成卫生间干式工法的应用比例；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3c</w:t>
      </w:r>
      <w:r>
        <w:rPr>
          <w:rFonts w:hint="eastAsia" w:ascii="仿宋" w:hAnsi="仿宋" w:eastAsia="仿宋" w:cs="仿宋"/>
          <w:color w:val="000000"/>
          <w:sz w:val="32"/>
          <w:szCs w:val="32"/>
        </w:rPr>
        <w:t>──各楼层卫生间墙面、顶面和地面采用干式工法面积之和；</w:t>
      </w:r>
    </w:p>
    <w:p>
      <w:pPr>
        <w:spacing w:line="560" w:lineRule="exact"/>
        <w:ind w:firstLine="627" w:firstLineChars="196"/>
        <w:rPr>
          <w:rFonts w:ascii="仿宋" w:hAnsi="仿宋" w:eastAsia="仿宋" w:cs="仿宋"/>
          <w:color w:val="000000"/>
          <w:sz w:val="32"/>
          <w:szCs w:val="32"/>
        </w:rPr>
      </w:pPr>
      <w:r>
        <w:rPr>
          <w:rFonts w:hint="eastAsia" w:ascii="仿宋" w:hAnsi="仿宋" w:eastAsia="仿宋" w:cs="仿宋"/>
          <w:i/>
          <w:color w:val="000000"/>
          <w:sz w:val="32"/>
          <w:szCs w:val="32"/>
        </w:rPr>
        <w:t xml:space="preserve">  A</w:t>
      </w:r>
      <w:r>
        <w:rPr>
          <w:rFonts w:hint="eastAsia" w:ascii="仿宋" w:hAnsi="仿宋" w:eastAsia="仿宋" w:cs="仿宋"/>
          <w:i/>
          <w:color w:val="000000"/>
          <w:sz w:val="32"/>
          <w:szCs w:val="32"/>
          <w:vertAlign w:val="subscript"/>
        </w:rPr>
        <w:t>b</w:t>
      </w:r>
      <w:r>
        <w:rPr>
          <w:rFonts w:hint="eastAsia" w:ascii="仿宋" w:hAnsi="仿宋" w:eastAsia="仿宋" w:cs="仿宋"/>
          <w:color w:val="000000"/>
          <w:sz w:val="32"/>
          <w:szCs w:val="32"/>
        </w:rPr>
        <w:t>──各楼层卫生间的墙面、顶面和地面的总面积。</w:t>
      </w:r>
    </w:p>
    <w:p>
      <w:pPr>
        <w:spacing w:line="560" w:lineRule="exact"/>
        <w:ind w:firstLine="630" w:firstLineChars="196"/>
        <w:rPr>
          <w:rFonts w:ascii="仿宋" w:hAnsi="仿宋" w:eastAsia="仿宋" w:cs="仿宋"/>
          <w:color w:val="000000"/>
          <w:sz w:val="32"/>
          <w:szCs w:val="32"/>
        </w:rPr>
      </w:pPr>
      <w:r>
        <w:rPr>
          <w:rFonts w:hint="eastAsia" w:ascii="仿宋" w:hAnsi="仿宋" w:eastAsia="仿宋" w:cs="仿宋"/>
          <w:b/>
          <w:color w:val="000000"/>
          <w:sz w:val="32"/>
          <w:szCs w:val="32"/>
        </w:rPr>
        <w:t>12.管线分离的比例应按下列公式计算：</w:t>
      </w:r>
    </w:p>
    <w:p>
      <w:pPr>
        <w:pStyle w:val="14"/>
        <w:spacing w:line="5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i/>
          <w:color w:val="000000"/>
          <w:sz w:val="32"/>
          <w:szCs w:val="32"/>
        </w:rPr>
        <w:t>Q</w:t>
      </w:r>
      <w:r>
        <w:rPr>
          <w:rFonts w:hint="eastAsia" w:ascii="仿宋" w:hAnsi="仿宋" w:eastAsia="仿宋" w:cs="仿宋"/>
          <w:b/>
          <w:bCs/>
          <w:i/>
          <w:color w:val="000000"/>
          <w:sz w:val="32"/>
          <w:szCs w:val="32"/>
          <w:vertAlign w:val="subscript"/>
        </w:rPr>
        <w:t>3d</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L</w:t>
      </w:r>
      <w:r>
        <w:rPr>
          <w:rFonts w:hint="eastAsia" w:ascii="仿宋" w:hAnsi="仿宋" w:eastAsia="仿宋" w:cs="仿宋"/>
          <w:b/>
          <w:bCs/>
          <w:i/>
          <w:color w:val="000000"/>
          <w:sz w:val="32"/>
          <w:szCs w:val="32"/>
          <w:vertAlign w:val="subscript"/>
        </w:rPr>
        <w:t>3d</w:t>
      </w:r>
      <w:r>
        <w:rPr>
          <w:rFonts w:hint="eastAsia" w:ascii="仿宋" w:hAnsi="仿宋" w:eastAsia="仿宋" w:cs="仿宋"/>
          <w:b/>
          <w:bCs/>
          <w:color w:val="000000"/>
          <w:sz w:val="32"/>
          <w:szCs w:val="32"/>
        </w:rPr>
        <w:t>/</w:t>
      </w:r>
      <w:r>
        <w:rPr>
          <w:rFonts w:hint="eastAsia" w:ascii="仿宋" w:hAnsi="仿宋" w:eastAsia="仿宋" w:cs="仿宋"/>
          <w:b/>
          <w:bCs/>
          <w:i/>
          <w:color w:val="000000"/>
          <w:sz w:val="32"/>
          <w:szCs w:val="32"/>
        </w:rPr>
        <w:t>L</w:t>
      </w:r>
      <w:r>
        <w:rPr>
          <w:rFonts w:hint="eastAsia" w:ascii="仿宋" w:hAnsi="仿宋" w:eastAsia="仿宋" w:cs="仿宋"/>
          <w:b/>
          <w:bCs/>
          <w:i/>
          <w:color w:val="000000"/>
          <w:sz w:val="32"/>
          <w:szCs w:val="32"/>
          <w:vertAlign w:val="subscript"/>
        </w:rPr>
        <w:t>g</w:t>
      </w:r>
      <w:r>
        <w:rPr>
          <w:rFonts w:hint="eastAsia" w:ascii="仿宋" w:hAnsi="仿宋" w:eastAsia="仿宋" w:cs="仿宋"/>
          <w:b/>
          <w:bCs/>
          <w:color w:val="000000"/>
          <w:sz w:val="32"/>
          <w:szCs w:val="32"/>
        </w:rPr>
        <w:t>×100%</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式中：</w:t>
      </w:r>
      <w:r>
        <w:rPr>
          <w:rFonts w:hint="eastAsia" w:ascii="仿宋" w:hAnsi="仿宋" w:eastAsia="仿宋" w:cs="仿宋"/>
          <w:i/>
          <w:color w:val="000000"/>
          <w:sz w:val="32"/>
          <w:szCs w:val="32"/>
        </w:rPr>
        <w:t>Q</w:t>
      </w:r>
      <w:r>
        <w:rPr>
          <w:rFonts w:hint="eastAsia" w:ascii="仿宋" w:hAnsi="仿宋" w:eastAsia="仿宋" w:cs="仿宋"/>
          <w:i/>
          <w:color w:val="000000"/>
          <w:sz w:val="32"/>
          <w:szCs w:val="32"/>
          <w:vertAlign w:val="subscript"/>
        </w:rPr>
        <w:t>3d</w:t>
      </w:r>
      <w:r>
        <w:rPr>
          <w:rFonts w:hint="eastAsia" w:ascii="仿宋" w:hAnsi="仿宋" w:eastAsia="仿宋" w:cs="仿宋"/>
          <w:color w:val="000000"/>
          <w:sz w:val="32"/>
          <w:szCs w:val="32"/>
        </w:rPr>
        <w:t>──管线分离比例；</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L</w:t>
      </w:r>
      <w:r>
        <w:rPr>
          <w:rFonts w:hint="eastAsia" w:ascii="仿宋" w:hAnsi="仿宋" w:eastAsia="仿宋" w:cs="仿宋"/>
          <w:i/>
          <w:color w:val="000000"/>
          <w:sz w:val="32"/>
          <w:szCs w:val="32"/>
          <w:vertAlign w:val="subscript"/>
        </w:rPr>
        <w:t>3d</w:t>
      </w:r>
      <w:r>
        <w:rPr>
          <w:rFonts w:hint="eastAsia" w:ascii="仿宋" w:hAnsi="仿宋" w:eastAsia="仿宋" w:cs="仿宋"/>
          <w:color w:val="000000"/>
          <w:sz w:val="32"/>
          <w:szCs w:val="32"/>
        </w:rPr>
        <w:t>──各楼层管线分离的长度，包括裸露于室内空间以及敷设在地面架空层、非承重墙体空腔和吊顶内的电气、给水排水</w:t>
      </w:r>
      <w:r>
        <w:rPr>
          <w:rFonts w:ascii="仿宋" w:hAnsi="仿宋" w:eastAsia="仿宋" w:cs="仿宋"/>
          <w:color w:val="000000"/>
          <w:sz w:val="32"/>
          <w:szCs w:val="32"/>
        </w:rPr>
        <w:t>和</w:t>
      </w:r>
      <w:r>
        <w:rPr>
          <w:rFonts w:hint="eastAsia" w:ascii="仿宋" w:hAnsi="仿宋" w:eastAsia="仿宋" w:cs="仿宋"/>
          <w:color w:val="000000"/>
          <w:sz w:val="32"/>
          <w:szCs w:val="32"/>
        </w:rPr>
        <w:t>采暖管线长度之和；</w:t>
      </w:r>
    </w:p>
    <w:p>
      <w:pPr>
        <w:tabs>
          <w:tab w:val="left" w:pos="709"/>
        </w:tabs>
        <w:spacing w:line="560" w:lineRule="exact"/>
        <w:rPr>
          <w:rFonts w:ascii="仿宋" w:hAnsi="仿宋" w:eastAsia="仿宋" w:cs="仿宋"/>
          <w:color w:val="000000"/>
          <w:sz w:val="32"/>
          <w:szCs w:val="32"/>
        </w:rPr>
      </w:pPr>
      <w:r>
        <w:rPr>
          <w:rFonts w:hint="eastAsia" w:ascii="仿宋" w:hAnsi="仿宋" w:eastAsia="仿宋" w:cs="仿宋"/>
          <w:i/>
          <w:color w:val="000000"/>
          <w:sz w:val="32"/>
          <w:szCs w:val="32"/>
        </w:rPr>
        <w:t xml:space="preserve">      L</w:t>
      </w:r>
      <w:r>
        <w:rPr>
          <w:rFonts w:hint="eastAsia" w:ascii="仿宋" w:hAnsi="仿宋" w:eastAsia="仿宋" w:cs="仿宋"/>
          <w:i/>
          <w:color w:val="000000"/>
          <w:sz w:val="32"/>
          <w:szCs w:val="32"/>
          <w:vertAlign w:val="subscript"/>
        </w:rPr>
        <w:t>g</w:t>
      </w:r>
      <w:r>
        <w:rPr>
          <w:rFonts w:hint="eastAsia" w:ascii="仿宋" w:hAnsi="仿宋" w:eastAsia="仿宋" w:cs="仿宋"/>
          <w:color w:val="000000"/>
          <w:sz w:val="32"/>
          <w:szCs w:val="32"/>
        </w:rPr>
        <w:t>──各楼层电气、</w:t>
      </w:r>
      <w:r>
        <w:rPr>
          <w:rFonts w:ascii="仿宋" w:hAnsi="仿宋" w:eastAsia="仿宋" w:cs="仿宋"/>
          <w:color w:val="000000"/>
          <w:sz w:val="32"/>
          <w:szCs w:val="32"/>
        </w:rPr>
        <w:t>给水排水</w:t>
      </w:r>
      <w:r>
        <w:rPr>
          <w:rFonts w:hint="eastAsia" w:ascii="仿宋" w:hAnsi="仿宋" w:eastAsia="仿宋" w:cs="仿宋"/>
          <w:color w:val="000000"/>
          <w:sz w:val="32"/>
          <w:szCs w:val="32"/>
        </w:rPr>
        <w:t>和采暖管线的总长度。</w:t>
      </w:r>
    </w:p>
    <w:p>
      <w:pPr>
        <w:tabs>
          <w:tab w:val="left" w:pos="709"/>
        </w:tabs>
        <w:spacing w:line="560" w:lineRule="exact"/>
        <w:ind w:firstLine="480" w:firstLineChars="200"/>
        <w:rPr>
          <w:rStyle w:val="12"/>
          <w:rFonts w:ascii="仿宋" w:hAnsi="仿宋" w:eastAsia="仿宋" w:cs="仿宋"/>
          <w:color w:val="000000"/>
          <w:sz w:val="24"/>
          <w:szCs w:val="24"/>
        </w:rPr>
      </w:pPr>
      <w:r>
        <w:rPr>
          <w:rStyle w:val="12"/>
          <w:rFonts w:hint="eastAsia" w:ascii="仿宋" w:hAnsi="仿宋" w:eastAsia="仿宋" w:cs="仿宋"/>
          <w:color w:val="000000"/>
          <w:sz w:val="24"/>
          <w:szCs w:val="24"/>
        </w:rPr>
        <w:t>注：对于裸露于室内空间以及敷设在地面架空层、非承重墙体空腔和吊顶内的管线应认定为管线分离；而对于埋置在结构构件内部(不含横穿)或敷设在湿作业地面垫层内的管线应认定为管线未分离。</w:t>
      </w:r>
    </w:p>
    <w:p>
      <w:pPr>
        <w:tabs>
          <w:tab w:val="left" w:pos="709"/>
        </w:tabs>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sz w:val="32"/>
          <w:szCs w:val="32"/>
        </w:rPr>
        <w:t>13.创新项指标得分值按如下要求计算得分：</w:t>
      </w:r>
    </w:p>
    <w:p>
      <w:pPr>
        <w:tabs>
          <w:tab w:val="left" w:pos="709"/>
        </w:tabs>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工程总承包，是指从事建设工程总承包的单位按照与建设单位签订的合同，对工程项目的设计、采购、施工等实行全过程承包，并对工程的质量、安全、工期等全面负责的工程承包方式。实行工程总承包方式的，得2分。</w:t>
      </w:r>
    </w:p>
    <w:p>
      <w:pPr>
        <w:tabs>
          <w:tab w:val="left" w:pos="709"/>
        </w:tabs>
        <w:spacing w:line="560" w:lineRule="exact"/>
        <w:ind w:firstLine="640" w:firstLineChars="200"/>
        <w:rPr>
          <w:rFonts w:ascii="仿宋" w:hAnsi="仿宋" w:eastAsia="仿宋" w:cs="仿宋"/>
          <w:color w:val="000000"/>
          <w:sz w:val="32"/>
          <w:szCs w:val="32"/>
        </w:rPr>
      </w:pPr>
      <w:r>
        <w:rPr>
          <w:rFonts w:hint="eastAsia" w:ascii="仿宋" w:hAnsi="仿宋" w:eastAsia="仿宋" w:cs="仿宋"/>
          <w:kern w:val="0"/>
          <w:sz w:val="32"/>
          <w:szCs w:val="32"/>
        </w:rPr>
        <w:t>信息化管理（含BIM技术），</w:t>
      </w:r>
      <w:r>
        <w:rPr>
          <w:rFonts w:hint="eastAsia" w:ascii="仿宋" w:hAnsi="仿宋" w:eastAsia="仿宋" w:cs="仿宋"/>
          <w:sz w:val="32"/>
          <w:szCs w:val="32"/>
        </w:rPr>
        <w:t>包括装配式建筑设计、施工、运营全过程应用信息化管理。</w:t>
      </w:r>
      <w:r>
        <w:rPr>
          <w:rFonts w:hint="eastAsia" w:ascii="仿宋" w:hAnsi="仿宋" w:eastAsia="仿宋" w:cs="仿宋"/>
          <w:color w:val="000000"/>
          <w:sz w:val="32"/>
          <w:szCs w:val="32"/>
        </w:rPr>
        <w:t>信息化管理（含BIM技术）应用在设计阶段，则该项得分</w:t>
      </w:r>
      <w:r>
        <w:rPr>
          <w:rFonts w:ascii="仿宋" w:hAnsi="仿宋" w:eastAsia="仿宋" w:cs="仿宋"/>
          <w:color w:val="000000"/>
          <w:sz w:val="32"/>
          <w:szCs w:val="32"/>
        </w:rPr>
        <w:t>1</w:t>
      </w:r>
      <w:r>
        <w:rPr>
          <w:rFonts w:hint="eastAsia" w:ascii="仿宋" w:hAnsi="仿宋" w:eastAsia="仿宋" w:cs="仿宋"/>
          <w:color w:val="000000"/>
          <w:sz w:val="32"/>
          <w:szCs w:val="32"/>
        </w:rPr>
        <w:t>分；信息化管理（含BIM技术）应用在设计、施工阶段，则该项得分</w:t>
      </w:r>
      <w:r>
        <w:rPr>
          <w:rFonts w:ascii="仿宋" w:hAnsi="仿宋" w:eastAsia="仿宋" w:cs="仿宋"/>
          <w:color w:val="000000"/>
          <w:sz w:val="32"/>
          <w:szCs w:val="32"/>
        </w:rPr>
        <w:t>2</w:t>
      </w:r>
      <w:r>
        <w:rPr>
          <w:rFonts w:hint="eastAsia" w:ascii="仿宋" w:hAnsi="仿宋" w:eastAsia="仿宋" w:cs="仿宋"/>
          <w:color w:val="000000"/>
          <w:sz w:val="32"/>
          <w:szCs w:val="32"/>
        </w:rPr>
        <w:t>分；信息化管理（含BIM技术）应用在设计、施工、运营全过程，则该项得分</w:t>
      </w:r>
      <w:r>
        <w:rPr>
          <w:rFonts w:ascii="仿宋" w:hAnsi="仿宋" w:eastAsia="仿宋" w:cs="仿宋"/>
          <w:color w:val="000000"/>
          <w:sz w:val="32"/>
          <w:szCs w:val="32"/>
        </w:rPr>
        <w:t>1</w:t>
      </w:r>
      <w:r>
        <w:rPr>
          <w:rFonts w:hint="eastAsia" w:ascii="仿宋" w:hAnsi="仿宋" w:eastAsia="仿宋" w:cs="仿宋"/>
          <w:color w:val="000000"/>
          <w:sz w:val="32"/>
          <w:szCs w:val="32"/>
        </w:rPr>
        <w:t xml:space="preserve">分。 </w:t>
      </w:r>
    </w:p>
    <w:p>
      <w:pPr>
        <w:tabs>
          <w:tab w:val="left" w:pos="709"/>
        </w:tabs>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应用新型模板技术，是指施工采用组合铝合金、组合式带肋塑料等模板技术，并达到免抹灰要求。新型模板技术应用面积为对应楼层全部模板接触面积，应用面积比例大于等于模板总面积比例50%的，得2分。</w:t>
      </w:r>
    </w:p>
    <w:p>
      <w:pPr>
        <w:widowControl/>
        <w:jc w:val="left"/>
        <w:rPr>
          <w:rFonts w:ascii="仿宋" w:hAnsi="仿宋" w:eastAsia="仿宋"/>
          <w:sz w:val="32"/>
          <w:szCs w:val="32"/>
        </w:rPr>
      </w:pPr>
      <w:r>
        <w:rPr>
          <w:rFonts w:ascii="仿宋" w:hAnsi="仿宋" w:eastAsia="仿宋"/>
          <w:sz w:val="32"/>
          <w:szCs w:val="32"/>
        </w:rPr>
        <w:br w:type="page"/>
      </w:r>
    </w:p>
    <w:p>
      <w:pPr>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 w:hAnsi="仿宋" w:eastAsia="仿宋" w:cs="宋体"/>
          <w:b/>
          <w:bCs/>
          <w:color w:val="000000"/>
          <w:sz w:val="32"/>
          <w:szCs w:val="32"/>
        </w:rPr>
      </w:pPr>
      <w:r>
        <w:rPr>
          <w:rFonts w:hint="eastAsia" w:ascii="仿宋" w:hAnsi="仿宋" w:eastAsia="仿宋" w:cs="宋体"/>
          <w:b/>
          <w:bCs/>
          <w:sz w:val="32"/>
          <w:szCs w:val="32"/>
        </w:rPr>
        <w:t>《</w:t>
      </w:r>
      <w:r>
        <w:rPr>
          <w:rFonts w:hint="eastAsia" w:ascii="仿宋" w:hAnsi="仿宋" w:eastAsia="仿宋" w:cs="宋体"/>
          <w:b/>
          <w:bCs/>
          <w:color w:val="000000"/>
          <w:sz w:val="32"/>
          <w:szCs w:val="32"/>
        </w:rPr>
        <w:t>武汉市装配式建筑装配率计算细则（试行）</w:t>
      </w:r>
      <w:r>
        <w:rPr>
          <w:rFonts w:hint="eastAsia" w:ascii="仿宋" w:hAnsi="仿宋" w:eastAsia="仿宋" w:cs="宋体"/>
          <w:b/>
          <w:bCs/>
          <w:sz w:val="32"/>
          <w:szCs w:val="32"/>
        </w:rPr>
        <w:t>（征求意见稿）》征求意见表</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832"/>
        <w:gridCol w:w="1403"/>
        <w:gridCol w:w="1505"/>
        <w:gridCol w:w="902"/>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专家</w:t>
            </w:r>
          </w:p>
          <w:p>
            <w:pPr>
              <w:spacing w:line="560" w:lineRule="exact"/>
              <w:jc w:val="center"/>
              <w:rPr>
                <w:rFonts w:ascii="仿宋" w:hAnsi="仿宋" w:eastAsia="仿宋"/>
                <w:sz w:val="28"/>
                <w:szCs w:val="28"/>
              </w:rPr>
            </w:pPr>
            <w:r>
              <w:rPr>
                <w:rFonts w:hint="eastAsia" w:ascii="仿宋" w:hAnsi="仿宋" w:eastAsia="仿宋"/>
                <w:sz w:val="28"/>
                <w:szCs w:val="28"/>
              </w:rPr>
              <w:t>姓名</w:t>
            </w:r>
          </w:p>
        </w:tc>
        <w:tc>
          <w:tcPr>
            <w:tcW w:w="18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职称/职务</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电话</w:t>
            </w:r>
          </w:p>
        </w:tc>
        <w:tc>
          <w:tcPr>
            <w:tcW w:w="1904"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单位</w:t>
            </w:r>
          </w:p>
        </w:tc>
        <w:tc>
          <w:tcPr>
            <w:tcW w:w="47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邮箱</w:t>
            </w:r>
          </w:p>
        </w:tc>
        <w:tc>
          <w:tcPr>
            <w:tcW w:w="1904"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地址</w:t>
            </w:r>
          </w:p>
        </w:tc>
        <w:tc>
          <w:tcPr>
            <w:tcW w:w="47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p>
          <w:p>
            <w:pPr>
              <w:spacing w:line="560" w:lineRule="exact"/>
              <w:jc w:val="center"/>
              <w:rPr>
                <w:rFonts w:ascii="仿宋" w:hAnsi="仿宋" w:eastAsia="仿宋"/>
                <w:sz w:val="28"/>
                <w:szCs w:val="28"/>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邮编</w:t>
            </w: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条文号</w:t>
            </w: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意见和/或建议</w:t>
            </w: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理由/背景材料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564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p>
        </w:tc>
      </w:tr>
    </w:tbl>
    <w:p>
      <w:pPr>
        <w:spacing w:line="560" w:lineRule="exact"/>
        <w:rPr>
          <w:rFonts w:ascii="仿宋" w:hAnsi="仿宋" w:eastAsia="仿宋"/>
          <w:szCs w:val="21"/>
        </w:rPr>
      </w:pPr>
      <w:r>
        <w:rPr>
          <w:rFonts w:hint="eastAsia" w:ascii="仿宋" w:hAnsi="仿宋" w:eastAsia="仿宋"/>
          <w:szCs w:val="21"/>
        </w:rPr>
        <w:t>注：1.单位反馈意见“专家姓名”和“职务/职称”栏可不填。在“单位”栏中加盖公章；2.专家反馈意见不需单位盖章；3纸面不敷，可另增页。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1D74E87"/>
    <w:rsid w:val="0000080C"/>
    <w:rsid w:val="00007396"/>
    <w:rsid w:val="00040E1A"/>
    <w:rsid w:val="000563B3"/>
    <w:rsid w:val="00081947"/>
    <w:rsid w:val="00095C2C"/>
    <w:rsid w:val="000A3AA0"/>
    <w:rsid w:val="000B42FB"/>
    <w:rsid w:val="000F3D42"/>
    <w:rsid w:val="00100B32"/>
    <w:rsid w:val="00115769"/>
    <w:rsid w:val="001218B6"/>
    <w:rsid w:val="00150BA9"/>
    <w:rsid w:val="00165CF0"/>
    <w:rsid w:val="0017055C"/>
    <w:rsid w:val="001C1B98"/>
    <w:rsid w:val="001C5021"/>
    <w:rsid w:val="001D5EF7"/>
    <w:rsid w:val="001F7EE2"/>
    <w:rsid w:val="0020033F"/>
    <w:rsid w:val="00201E18"/>
    <w:rsid w:val="002024FF"/>
    <w:rsid w:val="00205893"/>
    <w:rsid w:val="002253C7"/>
    <w:rsid w:val="0024254C"/>
    <w:rsid w:val="0024652D"/>
    <w:rsid w:val="00257A51"/>
    <w:rsid w:val="00265B7F"/>
    <w:rsid w:val="002757B2"/>
    <w:rsid w:val="002B5F83"/>
    <w:rsid w:val="002C1185"/>
    <w:rsid w:val="002D4BFA"/>
    <w:rsid w:val="0030048A"/>
    <w:rsid w:val="0032236B"/>
    <w:rsid w:val="00322B46"/>
    <w:rsid w:val="00325832"/>
    <w:rsid w:val="00355252"/>
    <w:rsid w:val="00372912"/>
    <w:rsid w:val="00372C51"/>
    <w:rsid w:val="00385F34"/>
    <w:rsid w:val="003B156B"/>
    <w:rsid w:val="003B50A2"/>
    <w:rsid w:val="003C7BC1"/>
    <w:rsid w:val="00400D63"/>
    <w:rsid w:val="00414151"/>
    <w:rsid w:val="0047099C"/>
    <w:rsid w:val="00493AB2"/>
    <w:rsid w:val="004C16D4"/>
    <w:rsid w:val="004E5FF9"/>
    <w:rsid w:val="004F7988"/>
    <w:rsid w:val="00502C4C"/>
    <w:rsid w:val="0051303A"/>
    <w:rsid w:val="0054513A"/>
    <w:rsid w:val="00566F1F"/>
    <w:rsid w:val="0057135B"/>
    <w:rsid w:val="00576388"/>
    <w:rsid w:val="005B0814"/>
    <w:rsid w:val="005B4BDD"/>
    <w:rsid w:val="00620AE8"/>
    <w:rsid w:val="00636F0D"/>
    <w:rsid w:val="00650CF8"/>
    <w:rsid w:val="006A6F75"/>
    <w:rsid w:val="006B7524"/>
    <w:rsid w:val="006D5DFE"/>
    <w:rsid w:val="006E20DE"/>
    <w:rsid w:val="006E6376"/>
    <w:rsid w:val="0070105B"/>
    <w:rsid w:val="007117B0"/>
    <w:rsid w:val="00721495"/>
    <w:rsid w:val="007634A0"/>
    <w:rsid w:val="007644B7"/>
    <w:rsid w:val="00785495"/>
    <w:rsid w:val="0079585E"/>
    <w:rsid w:val="007B06EB"/>
    <w:rsid w:val="007D155C"/>
    <w:rsid w:val="007D5BBC"/>
    <w:rsid w:val="007E47D4"/>
    <w:rsid w:val="00841838"/>
    <w:rsid w:val="008A6C79"/>
    <w:rsid w:val="008B22B8"/>
    <w:rsid w:val="008C5EE8"/>
    <w:rsid w:val="008D6B36"/>
    <w:rsid w:val="008E077F"/>
    <w:rsid w:val="009113F3"/>
    <w:rsid w:val="009266F2"/>
    <w:rsid w:val="009274A0"/>
    <w:rsid w:val="00937CBE"/>
    <w:rsid w:val="009459AF"/>
    <w:rsid w:val="00956D4E"/>
    <w:rsid w:val="009716A4"/>
    <w:rsid w:val="00990BBC"/>
    <w:rsid w:val="0099239D"/>
    <w:rsid w:val="00997A5B"/>
    <w:rsid w:val="009A0807"/>
    <w:rsid w:val="009C39A3"/>
    <w:rsid w:val="009D142B"/>
    <w:rsid w:val="009F06B8"/>
    <w:rsid w:val="00A12ADF"/>
    <w:rsid w:val="00A32002"/>
    <w:rsid w:val="00A411B7"/>
    <w:rsid w:val="00A642CA"/>
    <w:rsid w:val="00A86407"/>
    <w:rsid w:val="00AB0B8E"/>
    <w:rsid w:val="00AC5999"/>
    <w:rsid w:val="00AD646F"/>
    <w:rsid w:val="00AE0DDC"/>
    <w:rsid w:val="00AF0259"/>
    <w:rsid w:val="00B266CB"/>
    <w:rsid w:val="00B27752"/>
    <w:rsid w:val="00B417E1"/>
    <w:rsid w:val="00B54CFA"/>
    <w:rsid w:val="00B66A38"/>
    <w:rsid w:val="00B964E9"/>
    <w:rsid w:val="00BB0B8C"/>
    <w:rsid w:val="00BE32C8"/>
    <w:rsid w:val="00C04370"/>
    <w:rsid w:val="00C40686"/>
    <w:rsid w:val="00C87693"/>
    <w:rsid w:val="00C9168B"/>
    <w:rsid w:val="00CB34CD"/>
    <w:rsid w:val="00CE74B1"/>
    <w:rsid w:val="00D220CD"/>
    <w:rsid w:val="00D273F6"/>
    <w:rsid w:val="00D339F6"/>
    <w:rsid w:val="00D46D55"/>
    <w:rsid w:val="00D5332F"/>
    <w:rsid w:val="00D651EA"/>
    <w:rsid w:val="00DA3CD2"/>
    <w:rsid w:val="00DE67F3"/>
    <w:rsid w:val="00E0413F"/>
    <w:rsid w:val="00E257C9"/>
    <w:rsid w:val="00E74BB4"/>
    <w:rsid w:val="00EB47FC"/>
    <w:rsid w:val="00F41F1B"/>
    <w:rsid w:val="00F844CE"/>
    <w:rsid w:val="00FA2E97"/>
    <w:rsid w:val="00FA3477"/>
    <w:rsid w:val="00FB083B"/>
    <w:rsid w:val="00FB3404"/>
    <w:rsid w:val="00FD2B31"/>
    <w:rsid w:val="00FE4C50"/>
    <w:rsid w:val="00FF293A"/>
    <w:rsid w:val="017B29B7"/>
    <w:rsid w:val="108827B0"/>
    <w:rsid w:val="1BD024ED"/>
    <w:rsid w:val="25146434"/>
    <w:rsid w:val="2A841631"/>
    <w:rsid w:val="38EA217B"/>
    <w:rsid w:val="4D836775"/>
    <w:rsid w:val="5AB760DF"/>
    <w:rsid w:val="5AF010BE"/>
    <w:rsid w:val="5BC712A2"/>
    <w:rsid w:val="61D74E87"/>
    <w:rsid w:val="63AE7773"/>
    <w:rsid w:val="65DE5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qFormat/>
    <w:uiPriority w:val="0"/>
    <w:pPr>
      <w:ind w:left="120"/>
    </w:pPr>
    <w:rPr>
      <w:rFonts w:ascii="宋体" w:hAnsi="宋体"/>
      <w:sz w:val="24"/>
      <w:szCs w:val="24"/>
    </w:rPr>
  </w:style>
  <w:style w:type="paragraph" w:styleId="4">
    <w:name w:val="Balloon Text"/>
    <w:basedOn w:val="1"/>
    <w:link w:val="20"/>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annotation subject"/>
    <w:basedOn w:val="2"/>
    <w:next w:val="2"/>
    <w:link w:val="19"/>
    <w:semiHidden/>
    <w:unhideWhenUsed/>
    <w:qFormat/>
    <w:uiPriority w:val="0"/>
    <w:rPr>
      <w:b/>
      <w:bCs/>
    </w:rPr>
  </w:style>
  <w:style w:type="character" w:styleId="11">
    <w:name w:val="Strong"/>
    <w:basedOn w:val="10"/>
    <w:qFormat/>
    <w:uiPriority w:val="0"/>
    <w:rPr>
      <w:b/>
    </w:rPr>
  </w:style>
  <w:style w:type="character" w:styleId="12">
    <w:name w:val="annotation reference"/>
    <w:qFormat/>
    <w:uiPriority w:val="0"/>
    <w:rPr>
      <w:rFonts w:ascii="Calibri" w:hAnsi="Calibri" w:eastAsia="宋体" w:cs="Times New Roman"/>
      <w:sz w:val="21"/>
      <w:szCs w:val="21"/>
    </w:rPr>
  </w:style>
  <w:style w:type="paragraph" w:customStyle="1" w:styleId="13">
    <w:name w:val="列出段落11"/>
    <w:basedOn w:val="1"/>
    <w:qFormat/>
    <w:uiPriority w:val="0"/>
    <w:pPr>
      <w:ind w:firstLine="420" w:firstLineChars="200"/>
    </w:pPr>
    <w:rPr>
      <w:szCs w:val="24"/>
    </w:rPr>
  </w:style>
  <w:style w:type="paragraph" w:customStyle="1" w:styleId="14">
    <w:name w:val="列出段落1"/>
    <w:basedOn w:val="1"/>
    <w:qFormat/>
    <w:uiPriority w:val="0"/>
    <w:pPr>
      <w:ind w:firstLine="420" w:firstLineChars="200"/>
    </w:pPr>
    <w:rPr>
      <w:szCs w:val="24"/>
    </w:rPr>
  </w:style>
  <w:style w:type="paragraph" w:styleId="15">
    <w:name w:val="List Paragraph"/>
    <w:basedOn w:val="1"/>
    <w:qFormat/>
    <w:uiPriority w:val="1"/>
    <w:pPr>
      <w:ind w:left="1540" w:hanging="800"/>
    </w:pPr>
    <w:rPr>
      <w:rFonts w:ascii="宋体" w:hAnsi="宋体" w:cs="宋体"/>
      <w:lang w:val="zh-CN" w:bidi="zh-CN"/>
    </w:rPr>
  </w:style>
  <w:style w:type="character" w:customStyle="1" w:styleId="16">
    <w:name w:val="页眉 Char"/>
    <w:basedOn w:val="10"/>
    <w:link w:val="6"/>
    <w:qFormat/>
    <w:uiPriority w:val="0"/>
    <w:rPr>
      <w:kern w:val="2"/>
      <w:sz w:val="18"/>
      <w:szCs w:val="18"/>
    </w:rPr>
  </w:style>
  <w:style w:type="character" w:customStyle="1" w:styleId="17">
    <w:name w:val="页脚 Char"/>
    <w:basedOn w:val="10"/>
    <w:link w:val="5"/>
    <w:qFormat/>
    <w:uiPriority w:val="0"/>
    <w:rPr>
      <w:kern w:val="2"/>
      <w:sz w:val="18"/>
      <w:szCs w:val="18"/>
    </w:rPr>
  </w:style>
  <w:style w:type="character" w:customStyle="1" w:styleId="18">
    <w:name w:val="批注文字 Char"/>
    <w:basedOn w:val="10"/>
    <w:link w:val="2"/>
    <w:semiHidden/>
    <w:qFormat/>
    <w:uiPriority w:val="0"/>
    <w:rPr>
      <w:kern w:val="2"/>
      <w:sz w:val="21"/>
      <w:szCs w:val="22"/>
    </w:rPr>
  </w:style>
  <w:style w:type="character" w:customStyle="1" w:styleId="19">
    <w:name w:val="批注主题 Char"/>
    <w:basedOn w:val="18"/>
    <w:link w:val="8"/>
    <w:semiHidden/>
    <w:qFormat/>
    <w:uiPriority w:val="0"/>
    <w:rPr>
      <w:b/>
      <w:bCs/>
      <w:kern w:val="2"/>
      <w:sz w:val="21"/>
      <w:szCs w:val="22"/>
    </w:rPr>
  </w:style>
  <w:style w:type="character" w:customStyle="1" w:styleId="20">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894</Words>
  <Characters>5101</Characters>
  <Lines>42</Lines>
  <Paragraphs>11</Paragraphs>
  <TotalTime>36</TotalTime>
  <ScaleCrop>false</ScaleCrop>
  <LinksUpToDate>false</LinksUpToDate>
  <CharactersWithSpaces>5984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2019-03-17T04:53:00Z</dcterms:created>
  <dc:creator>大学之道</dc:creator>
  <cp:lastModifiedBy>JHP</cp:lastModifiedBy>
  <dcterms:modified xsi:type="dcterms:W3CDTF">2019-05-07T02:59:19Z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