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b/>
          <w:bCs/>
          <w:kern w:val="0"/>
          <w:sz w:val="28"/>
          <w:szCs w:val="28"/>
        </w:rPr>
      </w:pPr>
      <w:r>
        <w:rPr>
          <w:rFonts w:ascii="宋体" w:hAnsi="宋体"/>
          <w:b/>
          <w:bCs/>
          <w:kern w:val="0"/>
          <w:sz w:val="28"/>
          <w:szCs w:val="28"/>
        </w:rPr>
        <w:drawing>
          <wp:inline distT="0" distB="0" distL="114300" distR="114300">
            <wp:extent cx="2095500" cy="2065020"/>
            <wp:effectExtent l="0" t="0" r="7620" b="7620"/>
            <wp:docPr id="5"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11"/>
                    <a:stretch>
                      <a:fillRect/>
                    </a:stretch>
                  </pic:blipFill>
                  <pic:spPr>
                    <a:xfrm>
                      <a:off x="0" y="0"/>
                      <a:ext cx="2095500" cy="2065020"/>
                    </a:xfrm>
                    <a:prstGeom prst="rect">
                      <a:avLst/>
                    </a:prstGeom>
                    <a:noFill/>
                    <a:ln w="9525">
                      <a:noFill/>
                    </a:ln>
                  </pic:spPr>
                </pic:pic>
              </a:graphicData>
            </a:graphic>
          </wp:inline>
        </w:drawing>
      </w:r>
    </w:p>
    <w:p>
      <w:pPr>
        <w:widowControl/>
        <w:jc w:val="center"/>
        <w:rPr>
          <w:rFonts w:ascii="宋体" w:hAnsi="宋体"/>
          <w:color w:val="000000"/>
          <w:kern w:val="0"/>
          <w:sz w:val="44"/>
          <w:szCs w:val="44"/>
        </w:rPr>
      </w:pPr>
    </w:p>
    <w:p>
      <w:pPr>
        <w:widowControl/>
        <w:jc w:val="center"/>
        <w:rPr>
          <w:rFonts w:ascii="华文仿宋" w:hAnsi="华文仿宋" w:eastAsia="华文仿宋" w:cs="Arial"/>
          <w:b/>
          <w:bCs/>
          <w:color w:val="000000"/>
          <w:kern w:val="0"/>
          <w:sz w:val="48"/>
          <w:szCs w:val="44"/>
        </w:rPr>
      </w:pPr>
      <w:r>
        <w:rPr>
          <w:rFonts w:hint="eastAsia" w:ascii="华文仿宋" w:hAnsi="华文仿宋" w:eastAsia="华文仿宋" w:cs="Arial"/>
          <w:b/>
          <w:bCs/>
          <w:color w:val="000000"/>
          <w:kern w:val="0"/>
          <w:sz w:val="48"/>
          <w:szCs w:val="44"/>
        </w:rPr>
        <w:t>2019年全国“建筑节能检测”</w:t>
      </w:r>
    </w:p>
    <w:p>
      <w:pPr>
        <w:widowControl/>
        <w:jc w:val="center"/>
        <w:rPr>
          <w:rFonts w:ascii="华文仿宋" w:hAnsi="华文仿宋" w:eastAsia="华文仿宋" w:cs="Arial"/>
          <w:b/>
          <w:bCs/>
          <w:color w:val="000000"/>
          <w:kern w:val="0"/>
          <w:sz w:val="48"/>
          <w:szCs w:val="44"/>
        </w:rPr>
      </w:pPr>
      <w:r>
        <w:rPr>
          <w:rFonts w:hint="eastAsia" w:ascii="华文仿宋" w:hAnsi="华文仿宋" w:eastAsia="华文仿宋" w:cs="Arial"/>
          <w:b/>
          <w:bCs/>
          <w:color w:val="000000"/>
          <w:kern w:val="0"/>
          <w:sz w:val="48"/>
          <w:szCs w:val="44"/>
        </w:rPr>
        <w:t>实操培训班第2期</w:t>
      </w:r>
    </w:p>
    <w:p>
      <w:pPr>
        <w:widowControl/>
        <w:jc w:val="center"/>
        <w:rPr>
          <w:rFonts w:ascii="华文仿宋" w:hAnsi="华文仿宋" w:eastAsia="华文仿宋" w:cs="Arial"/>
          <w:b/>
          <w:bCs/>
          <w:color w:val="000000"/>
          <w:kern w:val="0"/>
          <w:sz w:val="48"/>
          <w:szCs w:val="44"/>
        </w:rPr>
      </w:pPr>
      <w:r>
        <w:rPr>
          <w:rFonts w:hint="eastAsia" w:ascii="华文仿宋" w:hAnsi="华文仿宋" w:eastAsia="华文仿宋" w:cs="Arial"/>
          <w:b/>
          <w:bCs/>
          <w:color w:val="000000"/>
          <w:kern w:val="0"/>
          <w:sz w:val="48"/>
          <w:szCs w:val="44"/>
        </w:rPr>
        <w:t>（总第4期）</w:t>
      </w:r>
    </w:p>
    <w:p>
      <w:pPr>
        <w:widowControl/>
        <w:jc w:val="center"/>
        <w:rPr>
          <w:rFonts w:ascii="华文仿宋" w:hAnsi="华文仿宋" w:eastAsia="华文仿宋" w:cs="仿宋_GB2312"/>
          <w:b/>
          <w:color w:val="000000"/>
          <w:sz w:val="44"/>
          <w:szCs w:val="44"/>
        </w:rPr>
      </w:pPr>
    </w:p>
    <w:p>
      <w:pPr>
        <w:spacing w:line="800" w:lineRule="exact"/>
        <w:jc w:val="center"/>
        <w:rPr>
          <w:rFonts w:ascii="华文仿宋" w:hAnsi="华文仿宋" w:eastAsia="华文新魏"/>
          <w:color w:val="000000"/>
          <w:kern w:val="0"/>
          <w:sz w:val="28"/>
          <w:szCs w:val="28"/>
        </w:rPr>
      </w:pPr>
      <w:r>
        <w:rPr>
          <w:rFonts w:hint="eastAsia" w:ascii="华文新魏" w:eastAsia="华文新魏"/>
          <w:sz w:val="84"/>
          <w:szCs w:val="84"/>
        </w:rPr>
        <w:t>培训通知</w:t>
      </w:r>
    </w:p>
    <w:p>
      <w:pPr>
        <w:widowControl/>
        <w:jc w:val="center"/>
        <w:rPr>
          <w:rFonts w:ascii="华文仿宋" w:hAnsi="华文仿宋" w:eastAsia="华文仿宋"/>
          <w:color w:val="000000"/>
          <w:kern w:val="0"/>
          <w:sz w:val="28"/>
          <w:szCs w:val="28"/>
        </w:rPr>
      </w:pP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中国科学院武汉分院继续教育学院</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中国科学院武汉岩土力学研究所</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武汉建筑业协会</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武汉中岩科技股份有限公司</w:t>
      </w: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武汉中科岩土工程技术培训有限公司</w:t>
      </w: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rPr>
          <w:rFonts w:ascii="仿宋" w:hAnsi="仿宋" w:eastAsia="仿宋" w:cs="Arial"/>
          <w:b/>
          <w:bCs/>
          <w:color w:val="000000"/>
          <w:kern w:val="0"/>
          <w:sz w:val="32"/>
          <w:szCs w:val="32"/>
        </w:rPr>
      </w:pPr>
    </w:p>
    <w:p>
      <w:pPr>
        <w:widowControl/>
        <w:adjustRightInd w:val="0"/>
        <w:snapToGrid w:val="0"/>
        <w:jc w:val="center"/>
        <w:rPr>
          <w:rFonts w:ascii="仿宋" w:hAnsi="仿宋" w:eastAsia="仿宋" w:cs="仿宋_GB2312"/>
          <w:b/>
          <w:color w:val="000000"/>
          <w:sz w:val="32"/>
          <w:szCs w:val="32"/>
        </w:rPr>
      </w:pPr>
      <w:r>
        <w:rPr>
          <w:rFonts w:hint="eastAsia" w:ascii="仿宋" w:hAnsi="仿宋" w:eastAsia="仿宋" w:cs="仿宋_GB2312"/>
          <w:b/>
          <w:color w:val="000000"/>
          <w:sz w:val="32"/>
          <w:szCs w:val="32"/>
        </w:rPr>
        <w:t>湖北·武汉</w:t>
      </w:r>
    </w:p>
    <w:p>
      <w:pPr>
        <w:widowControl/>
        <w:adjustRightInd w:val="0"/>
        <w:snapToGrid w:val="0"/>
        <w:jc w:val="center"/>
        <w:rPr>
          <w:rFonts w:ascii="方正小标宋简体" w:hAnsi="方正小标宋简体" w:eastAsia="方正小标宋简体" w:cs="方正小标宋简体"/>
          <w:color w:val="000000"/>
          <w:kern w:val="0"/>
          <w:sz w:val="44"/>
          <w:szCs w:val="44"/>
        </w:rPr>
        <w:sectPr>
          <w:headerReference r:id="rId3" w:type="default"/>
          <w:footerReference r:id="rId4" w:type="default"/>
          <w:pgSz w:w="11906" w:h="16838"/>
          <w:pgMar w:top="1440" w:right="1247" w:bottom="1440" w:left="1247" w:header="851" w:footer="992" w:gutter="0"/>
          <w:pgNumType w:start="1"/>
          <w:cols w:space="0" w:num="1"/>
          <w:docGrid w:type="lines" w:linePitch="312" w:charSpace="0"/>
        </w:sectPr>
      </w:pPr>
      <w:r>
        <w:rPr>
          <w:rFonts w:hint="eastAsia" w:ascii="仿宋" w:hAnsi="仿宋" w:eastAsia="仿宋" w:cs="仿宋_GB2312"/>
          <w:b/>
          <w:color w:val="000000"/>
          <w:sz w:val="32"/>
          <w:szCs w:val="32"/>
        </w:rPr>
        <w:t>2019年7月4日-7月8日</w:t>
      </w:r>
    </w:p>
    <w:p>
      <w:pPr>
        <w:widowControl/>
        <w:adjustRightInd w:val="0"/>
        <w:snapToGrid w:val="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关于举办2019年建筑节能检测</w:t>
      </w:r>
    </w:p>
    <w:p>
      <w:pPr>
        <w:widowControl/>
        <w:adjustRightInd w:val="0"/>
        <w:snapToGrid w:val="0"/>
        <w:jc w:val="center"/>
        <w:rPr>
          <w:rFonts w:ascii="方正小标宋简体" w:hAnsi="方正小标宋简体" w:eastAsia="方正小标宋简体" w:cs="方正小标宋简体"/>
          <w:color w:val="000000"/>
          <w:kern w:val="0"/>
          <w:sz w:val="44"/>
          <w:szCs w:val="44"/>
        </w:rPr>
      </w:pPr>
      <w:bookmarkStart w:id="0" w:name="_GoBack"/>
      <w:r>
        <w:rPr>
          <w:rFonts w:hint="eastAsia" w:ascii="方正小标宋简体" w:hAnsi="方正小标宋简体" w:eastAsia="方正小标宋简体" w:cs="方正小标宋简体"/>
          <w:color w:val="000000"/>
          <w:kern w:val="0"/>
          <w:sz w:val="44"/>
          <w:szCs w:val="44"/>
        </w:rPr>
        <w:t>实操培训班</w:t>
      </w:r>
      <w:bookmarkEnd w:id="0"/>
      <w:r>
        <w:rPr>
          <w:rFonts w:hint="eastAsia" w:ascii="方正小标宋简体" w:hAnsi="方正小标宋简体" w:eastAsia="方正小标宋简体" w:cs="方正小标宋简体"/>
          <w:color w:val="000000"/>
          <w:kern w:val="0"/>
          <w:sz w:val="44"/>
          <w:szCs w:val="44"/>
        </w:rPr>
        <w:t>通知</w:t>
      </w:r>
    </w:p>
    <w:p>
      <w:pPr>
        <w:widowControl/>
        <w:adjustRightInd w:val="0"/>
        <w:snapToGrid w:val="0"/>
        <w:spacing w:line="360" w:lineRule="auto"/>
        <w:jc w:val="left"/>
        <w:rPr>
          <w:rFonts w:ascii="仿宋" w:hAnsi="仿宋" w:eastAsia="仿宋" w:cs="Arial"/>
          <w:bCs/>
          <w:color w:val="000000"/>
          <w:kern w:val="0"/>
          <w:sz w:val="28"/>
          <w:szCs w:val="28"/>
        </w:rPr>
      </w:pP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各有关检测机构：</w:t>
      </w:r>
    </w:p>
    <w:p>
      <w:pPr>
        <w:widowControl/>
        <w:adjustRightInd w:val="0"/>
        <w:snapToGrid w:val="0"/>
        <w:spacing w:line="360" w:lineRule="auto"/>
        <w:ind w:firstLine="560" w:firstLineChars="200"/>
        <w:rPr>
          <w:rFonts w:ascii="仿宋" w:hAnsi="仿宋" w:eastAsia="仿宋" w:cs="Arial"/>
          <w:bCs/>
          <w:color w:val="0000FF"/>
          <w:kern w:val="0"/>
          <w:sz w:val="28"/>
          <w:szCs w:val="28"/>
        </w:rPr>
      </w:pPr>
      <w:r>
        <w:rPr>
          <w:rFonts w:hint="eastAsia" w:ascii="仿宋" w:hAnsi="仿宋" w:eastAsia="仿宋" w:cs="Arial"/>
          <w:bCs/>
          <w:kern w:val="0"/>
          <w:sz w:val="28"/>
          <w:szCs w:val="28"/>
        </w:rPr>
        <w:t>为满足建筑节能检测从业人员系统的培训需求，提升建筑节能检测专业技能，加强各单位之间相互学习与交流。特定于2019年7月4日在湖北省武汉市举办“2019年全国建筑节能检测实操培训班”。本期培训班由中国科学院武汉分院继续教育学院、中国科学院武汉岩土力学研究所、</w:t>
      </w:r>
      <w:r>
        <w:rPr>
          <w:rFonts w:hint="eastAsia" w:ascii="仿宋" w:hAnsi="仿宋" w:eastAsia="仿宋" w:cs="Arial"/>
          <w:color w:val="000000"/>
          <w:kern w:val="0"/>
          <w:sz w:val="28"/>
          <w:szCs w:val="28"/>
        </w:rPr>
        <w:t>武汉中岩科技股份有限公司</w:t>
      </w:r>
      <w:r>
        <w:rPr>
          <w:rFonts w:hint="eastAsia" w:ascii="仿宋" w:hAnsi="仿宋" w:eastAsia="仿宋" w:cs="Arial"/>
          <w:bCs/>
          <w:kern w:val="0"/>
          <w:sz w:val="28"/>
          <w:szCs w:val="28"/>
        </w:rPr>
        <w:t>和武汉建筑业协会联合主办，武汉中科岩土工程技术培训有限公司具体承办。热忱地欢迎业内同仁报名参加，现将有关事宜通知如下：</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培训对象</w:t>
      </w:r>
    </w:p>
    <w:p>
      <w:pPr>
        <w:widowControl/>
        <w:tabs>
          <w:tab w:val="left" w:pos="2310"/>
        </w:tabs>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各建筑工程质量检测公司、工程质量监督站、建科院、门窗生产厂家和建筑节能材料生产厂家。</w:t>
      </w:r>
    </w:p>
    <w:p>
      <w:pPr>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培训目标</w:t>
      </w:r>
    </w:p>
    <w:p>
      <w:pPr>
        <w:widowControl/>
        <w:numPr>
          <w:ilvl w:val="0"/>
          <w:numId w:val="2"/>
        </w:numPr>
        <w:tabs>
          <w:tab w:val="left" w:pos="2310"/>
        </w:tabs>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全面了解建筑节能检测相关检测技术；</w:t>
      </w:r>
    </w:p>
    <w:p>
      <w:pPr>
        <w:widowControl/>
        <w:tabs>
          <w:tab w:val="left" w:pos="2310"/>
        </w:tabs>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2、了解门窗三性检测新旧标准的差别；</w:t>
      </w:r>
    </w:p>
    <w:p>
      <w:pPr>
        <w:widowControl/>
        <w:tabs>
          <w:tab w:val="left" w:pos="2310"/>
        </w:tabs>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3、熟悉各参数的检测原理、仪器设备的使用及检测数据的处理；</w:t>
      </w:r>
    </w:p>
    <w:p>
      <w:pPr>
        <w:widowControl/>
        <w:tabs>
          <w:tab w:val="left" w:pos="2310"/>
        </w:tabs>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4、掌握实际检测中的不规范点、难点、易错点。</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培训特色</w:t>
      </w:r>
    </w:p>
    <w:p>
      <w:pPr>
        <w:numPr>
          <w:ilvl w:val="0"/>
          <w:numId w:val="3"/>
        </w:numPr>
        <w:adjustRightInd w:val="0"/>
        <w:snapToGrid w:val="0"/>
        <w:spacing w:line="360" w:lineRule="auto"/>
        <w:ind w:left="0"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 xml:space="preserve"> 专家理论讲解+真实案例分析+现场实际操作+观摩</w:t>
      </w:r>
    </w:p>
    <w:p>
      <w:pPr>
        <w:numPr>
          <w:ilvl w:val="0"/>
          <w:numId w:val="3"/>
        </w:numPr>
        <w:adjustRightInd w:val="0"/>
        <w:snapToGrid w:val="0"/>
        <w:spacing w:line="360" w:lineRule="auto"/>
        <w:ind w:left="0"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 xml:space="preserve"> 重点解读：规范化检测流程、疑难点、易错点及不规范点</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培训安排</w:t>
      </w:r>
    </w:p>
    <w:tbl>
      <w:tblPr>
        <w:tblStyle w:val="8"/>
        <w:tblW w:w="9184" w:type="dxa"/>
        <w:jc w:val="center"/>
        <w:tblInd w:w="-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651"/>
        <w:gridCol w:w="1868"/>
        <w:gridCol w:w="4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jc w:val="center"/>
        </w:trPr>
        <w:tc>
          <w:tcPr>
            <w:tcW w:w="2838" w:type="dxa"/>
            <w:gridSpan w:val="2"/>
            <w:vAlign w:val="center"/>
          </w:tcPr>
          <w:p>
            <w:pPr>
              <w:spacing w:line="440" w:lineRule="exact"/>
              <w:jc w:val="center"/>
              <w:rPr>
                <w:rFonts w:ascii="仿宋" w:hAnsi="仿宋" w:eastAsia="仿宋" w:cs="仿宋"/>
                <w:b/>
                <w:bCs/>
                <w:sz w:val="28"/>
                <w:szCs w:val="28"/>
              </w:rPr>
            </w:pPr>
            <w:r>
              <w:rPr>
                <w:rFonts w:hint="eastAsia" w:ascii="仿宋" w:hAnsi="仿宋" w:eastAsia="仿宋" w:cs="仿宋"/>
                <w:b/>
                <w:bCs/>
                <w:sz w:val="28"/>
                <w:szCs w:val="28"/>
              </w:rPr>
              <w:t>时间</w:t>
            </w:r>
          </w:p>
        </w:tc>
        <w:tc>
          <w:tcPr>
            <w:tcW w:w="6346" w:type="dxa"/>
            <w:gridSpan w:val="2"/>
            <w:vAlign w:val="center"/>
          </w:tcPr>
          <w:p>
            <w:pPr>
              <w:spacing w:line="440" w:lineRule="exact"/>
              <w:jc w:val="center"/>
              <w:rPr>
                <w:rFonts w:ascii="仿宋" w:hAnsi="仿宋" w:eastAsia="仿宋" w:cs="仿宋"/>
                <w:b/>
                <w:bCs/>
                <w:sz w:val="28"/>
                <w:szCs w:val="28"/>
              </w:rPr>
            </w:pPr>
            <w:r>
              <w:rPr>
                <w:rFonts w:hint="eastAsia" w:ascii="仿宋" w:hAnsi="仿宋" w:eastAsia="仿宋" w:cs="仿宋"/>
                <w:b/>
                <w:bCs/>
                <w:sz w:val="28"/>
                <w:szCs w:val="28"/>
              </w:rPr>
              <w:t>课程安排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1187" w:type="dxa"/>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7月4日</w:t>
            </w:r>
          </w:p>
          <w:p>
            <w:pPr>
              <w:jc w:val="center"/>
              <w:rPr>
                <w:rFonts w:ascii="仿宋" w:hAnsi="仿宋" w:eastAsia="仿宋" w:cs="仿宋"/>
                <w:sz w:val="24"/>
              </w:rPr>
            </w:pPr>
            <w:r>
              <w:rPr>
                <w:rFonts w:hint="eastAsia" w:ascii="仿宋" w:hAnsi="仿宋" w:eastAsia="仿宋" w:cs="Arial"/>
                <w:bCs/>
                <w:color w:val="000000"/>
                <w:kern w:val="0"/>
                <w:sz w:val="24"/>
              </w:rPr>
              <w:t>周四</w:t>
            </w:r>
          </w:p>
        </w:tc>
        <w:tc>
          <w:tcPr>
            <w:tcW w:w="1651" w:type="dxa"/>
            <w:vAlign w:val="center"/>
          </w:tcPr>
          <w:p>
            <w:pPr>
              <w:jc w:val="center"/>
              <w:rPr>
                <w:rFonts w:ascii="仿宋" w:hAnsi="仿宋" w:eastAsia="仿宋" w:cs="仿宋"/>
                <w:sz w:val="24"/>
              </w:rPr>
            </w:pPr>
            <w:r>
              <w:rPr>
                <w:rFonts w:hint="eastAsia" w:ascii="仿宋" w:hAnsi="仿宋" w:eastAsia="仿宋" w:cs="Arial"/>
                <w:bCs/>
                <w:color w:val="000000"/>
                <w:kern w:val="0"/>
                <w:sz w:val="24"/>
              </w:rPr>
              <w:t>14:00-17:30</w:t>
            </w:r>
          </w:p>
        </w:tc>
        <w:tc>
          <w:tcPr>
            <w:tcW w:w="6346" w:type="dxa"/>
            <w:gridSpan w:val="2"/>
            <w:vAlign w:val="center"/>
          </w:tcPr>
          <w:p>
            <w:pPr>
              <w:jc w:val="center"/>
              <w:rPr>
                <w:rFonts w:ascii="仿宋" w:hAnsi="仿宋" w:eastAsia="仿宋" w:cs="仿宋"/>
                <w:sz w:val="24"/>
              </w:rPr>
            </w:pPr>
            <w:r>
              <w:rPr>
                <w:rFonts w:hint="eastAsia" w:ascii="仿宋" w:hAnsi="仿宋" w:eastAsia="仿宋" w:cs="Arial"/>
                <w:bCs/>
                <w:color w:val="000000"/>
                <w:kern w:val="0"/>
                <w:sz w:val="24"/>
              </w:rPr>
              <w:t>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2" w:hRule="atLeast"/>
          <w:jc w:val="center"/>
        </w:trPr>
        <w:tc>
          <w:tcPr>
            <w:tcW w:w="1187" w:type="dxa"/>
            <w:vMerge w:val="restart"/>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7月5日</w:t>
            </w:r>
          </w:p>
          <w:p>
            <w:pPr>
              <w:spacing w:line="440" w:lineRule="exact"/>
              <w:jc w:val="center"/>
              <w:rPr>
                <w:rFonts w:ascii="仿宋" w:hAnsi="仿宋" w:eastAsia="仿宋" w:cs="仿宋"/>
                <w:sz w:val="24"/>
              </w:rPr>
            </w:pPr>
            <w:r>
              <w:rPr>
                <w:rFonts w:hint="eastAsia" w:ascii="仿宋" w:hAnsi="仿宋" w:eastAsia="仿宋" w:cs="Arial"/>
                <w:bCs/>
                <w:color w:val="000000"/>
                <w:kern w:val="0"/>
                <w:sz w:val="24"/>
              </w:rPr>
              <w:t>周五</w:t>
            </w:r>
          </w:p>
        </w:tc>
        <w:tc>
          <w:tcPr>
            <w:tcW w:w="1651" w:type="dxa"/>
            <w:vAlign w:val="center"/>
          </w:tcPr>
          <w:p>
            <w:pPr>
              <w:jc w:val="center"/>
              <w:rPr>
                <w:rFonts w:ascii="仿宋" w:hAnsi="仿宋" w:eastAsia="仿宋" w:cs="仿宋"/>
                <w:sz w:val="24"/>
              </w:rPr>
            </w:pPr>
            <w:r>
              <w:rPr>
                <w:rFonts w:hint="eastAsia" w:ascii="仿宋" w:hAnsi="仿宋" w:eastAsia="仿宋" w:cs="Arial"/>
                <w:bCs/>
                <w:kern w:val="0"/>
                <w:sz w:val="24"/>
              </w:rPr>
              <w:t>8:30-12:00</w:t>
            </w:r>
          </w:p>
        </w:tc>
        <w:tc>
          <w:tcPr>
            <w:tcW w:w="6346" w:type="dxa"/>
            <w:gridSpan w:val="2"/>
            <w:vAlign w:val="center"/>
          </w:tcPr>
          <w:p>
            <w:pPr>
              <w:spacing w:line="240" w:lineRule="atLeast"/>
              <w:jc w:val="center"/>
              <w:rPr>
                <w:rFonts w:ascii="仿宋" w:hAnsi="仿宋" w:eastAsia="仿宋" w:cs="仿宋"/>
                <w:sz w:val="24"/>
              </w:rPr>
            </w:pPr>
            <w:r>
              <w:rPr>
                <w:rFonts w:hint="eastAsia" w:ascii="仿宋" w:hAnsi="仿宋" w:eastAsia="仿宋" w:cs="仿宋"/>
                <w:sz w:val="24"/>
              </w:rPr>
              <w:t>保温绝热材料、配套材料及系统材料、自保温墙体材料</w:t>
            </w:r>
          </w:p>
          <w:p>
            <w:pPr>
              <w:numPr>
                <w:ilvl w:val="0"/>
                <w:numId w:val="4"/>
              </w:numPr>
              <w:spacing w:line="240" w:lineRule="atLeast"/>
              <w:jc w:val="center"/>
              <w:rPr>
                <w:rFonts w:ascii="仿宋" w:hAnsi="仿宋" w:eastAsia="仿宋" w:cs="仿宋"/>
                <w:sz w:val="24"/>
              </w:rPr>
            </w:pPr>
            <w:r>
              <w:rPr>
                <w:rFonts w:hint="eastAsia" w:ascii="仿宋" w:hAnsi="仿宋" w:eastAsia="仿宋" w:cs="仿宋"/>
                <w:sz w:val="24"/>
              </w:rPr>
              <w:t>保温绝热材料及系统材料（压缩性能、抗压强度、导热系数、干密度、表观密度、拉伸粘结强度、压折比、尺寸稳定性、软化系数、线性收缩率、质量含水率、内保温系统相关参数包括热阻、传热系数等、外保温系统相关参数包括耐候性、抗风压等）；</w:t>
            </w:r>
          </w:p>
          <w:p>
            <w:pPr>
              <w:numPr>
                <w:ilvl w:val="0"/>
                <w:numId w:val="4"/>
              </w:numPr>
              <w:spacing w:line="240" w:lineRule="atLeast"/>
              <w:rPr>
                <w:rFonts w:ascii="仿宋" w:hAnsi="仿宋" w:eastAsia="仿宋" w:cs="仿宋"/>
                <w:sz w:val="24"/>
              </w:rPr>
            </w:pPr>
            <w:r>
              <w:rPr>
                <w:rFonts w:hint="eastAsia" w:ascii="仿宋" w:hAnsi="仿宋" w:eastAsia="仿宋" w:cs="仿宋"/>
                <w:sz w:val="24"/>
              </w:rPr>
              <w:t>配套材料：</w:t>
            </w:r>
            <w:r>
              <w:rPr>
                <w:rFonts w:hint="eastAsia" w:ascii="仿宋" w:hAnsi="仿宋" w:eastAsia="仿宋" w:cs="仿宋"/>
                <w:sz w:val="24"/>
              </w:rPr>
              <w:sym w:font="Wingdings" w:char="F081"/>
            </w:r>
            <w:r>
              <w:rPr>
                <w:rFonts w:hint="eastAsia" w:ascii="仿宋" w:hAnsi="仿宋" w:eastAsia="仿宋" w:cs="仿宋"/>
                <w:sz w:val="24"/>
              </w:rPr>
              <w:t>耐碱</w:t>
            </w:r>
            <w:r>
              <w:rPr>
                <w:rFonts w:ascii="仿宋" w:hAnsi="仿宋" w:eastAsia="仿宋" w:cs="仿宋"/>
                <w:sz w:val="24"/>
              </w:rPr>
              <w:t>纤维网布检测</w:t>
            </w:r>
          </w:p>
          <w:p>
            <w:pPr>
              <w:spacing w:line="240" w:lineRule="atLeast"/>
              <w:jc w:val="center"/>
              <w:rPr>
                <w:rFonts w:ascii="仿宋" w:hAnsi="仿宋" w:eastAsia="仿宋" w:cs="仿宋"/>
                <w:sz w:val="24"/>
              </w:rPr>
            </w:pPr>
            <w:r>
              <w:rPr>
                <w:rFonts w:hint="eastAsia" w:ascii="仿宋" w:hAnsi="仿宋" w:eastAsia="仿宋" w:cs="仿宋"/>
                <w:sz w:val="24"/>
              </w:rPr>
              <w:t>（单位面积质量、经纬密度、耐碱断裂强力、断裂伸长率、耐碱断裂强力保留率）</w:t>
            </w:r>
            <w:r>
              <w:rPr>
                <w:rFonts w:hint="eastAsia" w:ascii="仿宋" w:hAnsi="仿宋" w:eastAsia="仿宋" w:cs="仿宋"/>
                <w:sz w:val="24"/>
              </w:rPr>
              <w:sym w:font="Wingdings" w:char="F082"/>
            </w:r>
            <w:r>
              <w:rPr>
                <w:rFonts w:ascii="仿宋" w:hAnsi="仿宋" w:eastAsia="仿宋" w:cs="仿宋"/>
                <w:sz w:val="24"/>
              </w:rPr>
              <w:t>热镀锌电焊网检测</w:t>
            </w:r>
          </w:p>
          <w:p>
            <w:pPr>
              <w:spacing w:line="240" w:lineRule="atLeast"/>
              <w:jc w:val="center"/>
              <w:rPr>
                <w:rFonts w:ascii="仿宋" w:hAnsi="仿宋" w:eastAsia="仿宋" w:cs="仿宋"/>
                <w:sz w:val="24"/>
              </w:rPr>
            </w:pPr>
            <w:r>
              <w:rPr>
                <w:rFonts w:hint="eastAsia" w:ascii="仿宋" w:hAnsi="仿宋" w:eastAsia="仿宋" w:cs="仿宋"/>
                <w:sz w:val="24"/>
              </w:rPr>
              <w:t>（丝径、网孔偏差、焊点抗拉力、镀锌层质量）</w:t>
            </w:r>
            <w:r>
              <w:rPr>
                <w:rFonts w:hint="eastAsia" w:ascii="仿宋" w:hAnsi="仿宋" w:eastAsia="仿宋" w:cs="仿宋"/>
                <w:sz w:val="24"/>
              </w:rPr>
              <w:sym w:font="Wingdings" w:char="F083"/>
            </w:r>
            <w:r>
              <w:rPr>
                <w:rFonts w:hint="eastAsia" w:ascii="仿宋" w:hAnsi="仿宋" w:eastAsia="仿宋" w:cs="仿宋"/>
                <w:sz w:val="24"/>
              </w:rPr>
              <w:t>锚固件（拉拔力、悬挂力）</w:t>
            </w:r>
          </w:p>
          <w:p>
            <w:pPr>
              <w:spacing w:line="240" w:lineRule="atLeast"/>
              <w:rPr>
                <w:rFonts w:ascii="仿宋" w:hAnsi="仿宋" w:eastAsia="仿宋" w:cs="仿宋"/>
                <w:sz w:val="24"/>
              </w:rPr>
            </w:pPr>
            <w:r>
              <w:rPr>
                <w:rFonts w:hint="eastAsia" w:ascii="仿宋" w:hAnsi="仿宋" w:eastAsia="仿宋" w:cs="仿宋"/>
                <w:sz w:val="24"/>
              </w:rPr>
              <w:t>3）自保温墙体材料（导热系数、传热系数、热阻）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1187" w:type="dxa"/>
            <w:vMerge w:val="continue"/>
            <w:vAlign w:val="center"/>
          </w:tcPr>
          <w:p>
            <w:pPr>
              <w:spacing w:line="440" w:lineRule="exact"/>
              <w:jc w:val="center"/>
              <w:rPr>
                <w:rFonts w:ascii="仿宋" w:hAnsi="仿宋" w:eastAsia="仿宋" w:cs="仿宋"/>
                <w:sz w:val="24"/>
              </w:rPr>
            </w:pPr>
          </w:p>
        </w:tc>
        <w:tc>
          <w:tcPr>
            <w:tcW w:w="1651" w:type="dxa"/>
            <w:vAlign w:val="center"/>
          </w:tcPr>
          <w:p>
            <w:pPr>
              <w:spacing w:line="440" w:lineRule="exact"/>
              <w:jc w:val="center"/>
              <w:rPr>
                <w:rFonts w:ascii="仿宋" w:hAnsi="仿宋" w:eastAsia="仿宋" w:cs="仿宋"/>
                <w:sz w:val="24"/>
              </w:rPr>
            </w:pPr>
            <w:r>
              <w:rPr>
                <w:rFonts w:hint="eastAsia" w:ascii="仿宋" w:hAnsi="仿宋" w:eastAsia="仿宋" w:cs="Arial"/>
                <w:bCs/>
                <w:color w:val="000000"/>
                <w:kern w:val="0"/>
                <w:sz w:val="24"/>
              </w:rPr>
              <w:t>14:00-17:30</w:t>
            </w:r>
          </w:p>
        </w:tc>
        <w:tc>
          <w:tcPr>
            <w:tcW w:w="6346" w:type="dxa"/>
            <w:gridSpan w:val="2"/>
            <w:vAlign w:val="center"/>
          </w:tcPr>
          <w:p>
            <w:pPr>
              <w:spacing w:line="240" w:lineRule="atLeast"/>
              <w:jc w:val="center"/>
              <w:rPr>
                <w:rFonts w:ascii="仿宋" w:hAnsi="仿宋" w:eastAsia="仿宋" w:cs="仿宋"/>
                <w:sz w:val="24"/>
              </w:rPr>
            </w:pPr>
            <w:r>
              <w:rPr>
                <w:rFonts w:hint="eastAsia" w:ascii="仿宋" w:hAnsi="仿宋" w:eastAsia="仿宋" w:cs="仿宋"/>
                <w:sz w:val="24"/>
              </w:rPr>
              <w:t>保温材料燃烧性能</w:t>
            </w:r>
          </w:p>
          <w:p>
            <w:pPr>
              <w:spacing w:line="240" w:lineRule="atLeast"/>
              <w:jc w:val="center"/>
              <w:rPr>
                <w:rFonts w:ascii="仿宋" w:hAnsi="仿宋" w:eastAsia="仿宋" w:cs="仿宋"/>
                <w:sz w:val="24"/>
              </w:rPr>
            </w:pPr>
            <w:r>
              <w:rPr>
                <w:rFonts w:hint="eastAsia" w:ascii="仿宋" w:hAnsi="仿宋" w:eastAsia="仿宋" w:cs="仿宋"/>
                <w:sz w:val="24"/>
              </w:rPr>
              <w:t>（不燃性、燃烧热值、单体燃烧试验、可燃性、氧指数）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1187" w:type="dxa"/>
            <w:vMerge w:val="restart"/>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7月6日</w:t>
            </w:r>
          </w:p>
          <w:p>
            <w:pPr>
              <w:spacing w:line="440" w:lineRule="exact"/>
              <w:jc w:val="center"/>
              <w:rPr>
                <w:rFonts w:ascii="仿宋" w:hAnsi="仿宋" w:eastAsia="仿宋" w:cs="仿宋"/>
                <w:sz w:val="24"/>
              </w:rPr>
            </w:pPr>
            <w:r>
              <w:rPr>
                <w:rFonts w:hint="eastAsia" w:ascii="仿宋" w:hAnsi="仿宋" w:eastAsia="仿宋" w:cs="Arial"/>
                <w:bCs/>
                <w:color w:val="000000"/>
                <w:kern w:val="0"/>
                <w:sz w:val="24"/>
              </w:rPr>
              <w:t>周六</w:t>
            </w:r>
          </w:p>
        </w:tc>
        <w:tc>
          <w:tcPr>
            <w:tcW w:w="1651" w:type="dxa"/>
            <w:vAlign w:val="center"/>
          </w:tcPr>
          <w:p>
            <w:pPr>
              <w:spacing w:line="440" w:lineRule="exact"/>
              <w:jc w:val="center"/>
              <w:rPr>
                <w:rFonts w:ascii="仿宋" w:hAnsi="仿宋" w:eastAsia="仿宋" w:cs="仿宋"/>
                <w:sz w:val="24"/>
              </w:rPr>
            </w:pPr>
            <w:r>
              <w:rPr>
                <w:rFonts w:hint="eastAsia" w:ascii="仿宋" w:hAnsi="仿宋" w:eastAsia="仿宋" w:cs="Arial"/>
                <w:bCs/>
                <w:color w:val="000000"/>
                <w:kern w:val="0"/>
                <w:sz w:val="24"/>
              </w:rPr>
              <w:t>8:30-12:00</w:t>
            </w:r>
          </w:p>
        </w:tc>
        <w:tc>
          <w:tcPr>
            <w:tcW w:w="6346" w:type="dxa"/>
            <w:gridSpan w:val="2"/>
            <w:vAlign w:val="center"/>
          </w:tcPr>
          <w:p>
            <w:pPr>
              <w:spacing w:line="240" w:lineRule="atLeast"/>
              <w:jc w:val="center"/>
              <w:rPr>
                <w:rFonts w:ascii="仿宋" w:hAnsi="仿宋" w:eastAsia="仿宋" w:cs="仿宋"/>
                <w:sz w:val="24"/>
              </w:rPr>
            </w:pPr>
            <w:r>
              <w:rPr>
                <w:rFonts w:hint="eastAsia" w:ascii="仿宋" w:hAnsi="仿宋" w:eastAsia="仿宋" w:cs="仿宋"/>
                <w:sz w:val="24"/>
              </w:rPr>
              <w:t>建筑节能现场检测</w:t>
            </w:r>
          </w:p>
          <w:p>
            <w:pPr>
              <w:spacing w:line="240" w:lineRule="atLeast"/>
              <w:jc w:val="center"/>
              <w:rPr>
                <w:rFonts w:ascii="仿宋" w:hAnsi="仿宋" w:eastAsia="仿宋" w:cs="仿宋"/>
                <w:sz w:val="24"/>
              </w:rPr>
            </w:pPr>
            <w:r>
              <w:rPr>
                <w:rFonts w:hint="eastAsia" w:ascii="仿宋" w:hAnsi="仿宋" w:eastAsia="仿宋" w:cs="仿宋"/>
                <w:sz w:val="24"/>
              </w:rPr>
              <w:t>（饰面砖粘结强度、保温层与基层的拉伸粘结强度、锚栓抗拉承载力、红外热像法检测饰面砖粘贴质量）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187" w:type="dxa"/>
            <w:vMerge w:val="continue"/>
            <w:vAlign w:val="center"/>
          </w:tcPr>
          <w:p>
            <w:pPr>
              <w:spacing w:line="440" w:lineRule="exact"/>
              <w:jc w:val="center"/>
              <w:rPr>
                <w:rFonts w:ascii="仿宋" w:hAnsi="仿宋" w:eastAsia="仿宋" w:cs="仿宋"/>
                <w:sz w:val="24"/>
              </w:rPr>
            </w:pPr>
          </w:p>
        </w:tc>
        <w:tc>
          <w:tcPr>
            <w:tcW w:w="1651" w:type="dxa"/>
            <w:vMerge w:val="restart"/>
            <w:vAlign w:val="center"/>
          </w:tcPr>
          <w:p>
            <w:pPr>
              <w:spacing w:line="440" w:lineRule="exact"/>
              <w:jc w:val="center"/>
              <w:rPr>
                <w:rFonts w:ascii="仿宋" w:hAnsi="仿宋" w:eastAsia="仿宋" w:cs="仿宋"/>
                <w:sz w:val="24"/>
              </w:rPr>
            </w:pPr>
            <w:r>
              <w:rPr>
                <w:rFonts w:hint="eastAsia" w:ascii="仿宋" w:hAnsi="仿宋" w:eastAsia="仿宋" w:cs="Arial"/>
                <w:bCs/>
                <w:color w:val="000000"/>
                <w:kern w:val="0"/>
                <w:sz w:val="24"/>
              </w:rPr>
              <w:t>14:00-17:30</w:t>
            </w:r>
          </w:p>
        </w:tc>
        <w:tc>
          <w:tcPr>
            <w:tcW w:w="6346" w:type="dxa"/>
            <w:gridSpan w:val="2"/>
            <w:vAlign w:val="center"/>
          </w:tcPr>
          <w:p>
            <w:pPr>
              <w:spacing w:line="240" w:lineRule="atLeast"/>
              <w:jc w:val="center"/>
              <w:rPr>
                <w:rFonts w:ascii="仿宋" w:hAnsi="仿宋" w:eastAsia="仿宋" w:cs="仿宋"/>
                <w:sz w:val="24"/>
              </w:rPr>
            </w:pPr>
            <w:r>
              <w:rPr>
                <w:rFonts w:hint="eastAsia" w:ascii="仿宋" w:hAnsi="仿宋" w:eastAsia="仿宋" w:cs="仿宋"/>
                <w:sz w:val="24"/>
              </w:rPr>
              <w:t>门窗</w:t>
            </w:r>
          </w:p>
          <w:p>
            <w:pPr>
              <w:spacing w:line="240" w:lineRule="atLeast"/>
              <w:jc w:val="center"/>
              <w:rPr>
                <w:rFonts w:ascii="仿宋" w:hAnsi="仿宋" w:eastAsia="仿宋" w:cs="仿宋"/>
                <w:sz w:val="24"/>
              </w:rPr>
            </w:pPr>
            <w:r>
              <w:rPr>
                <w:rFonts w:hint="eastAsia" w:ascii="仿宋" w:hAnsi="仿宋" w:eastAsia="仿宋" w:cs="仿宋"/>
                <w:sz w:val="24"/>
              </w:rPr>
              <w:t>（抗风压性、气密性、水密性、保温性、外窗现场气密性）</w:t>
            </w:r>
          </w:p>
          <w:p>
            <w:pPr>
              <w:spacing w:line="240" w:lineRule="atLeast"/>
              <w:jc w:val="center"/>
              <w:rPr>
                <w:rFonts w:ascii="仿宋" w:hAnsi="仿宋" w:eastAsia="仿宋" w:cs="仿宋"/>
                <w:sz w:val="24"/>
              </w:rPr>
            </w:pPr>
          </w:p>
          <w:p>
            <w:pPr>
              <w:spacing w:line="240" w:lineRule="atLeast"/>
              <w:jc w:val="center"/>
              <w:rPr>
                <w:rFonts w:ascii="仿宋" w:hAnsi="仿宋" w:eastAsia="仿宋" w:cs="仿宋"/>
                <w:sz w:val="24"/>
              </w:rPr>
            </w:pPr>
            <w:r>
              <w:rPr>
                <w:rFonts w:hint="eastAsia" w:ascii="仿宋" w:hAnsi="仿宋" w:eastAsia="仿宋" w:cs="仿宋"/>
                <w:sz w:val="24"/>
              </w:rPr>
              <w:t>门窗三性检测新标准解读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1" w:hRule="atLeast"/>
          <w:jc w:val="center"/>
        </w:trPr>
        <w:tc>
          <w:tcPr>
            <w:tcW w:w="1187" w:type="dxa"/>
            <w:vMerge w:val="continue"/>
            <w:vAlign w:val="center"/>
          </w:tcPr>
          <w:p>
            <w:pPr>
              <w:spacing w:line="440" w:lineRule="exact"/>
              <w:jc w:val="center"/>
              <w:rPr>
                <w:rFonts w:ascii="仿宋" w:hAnsi="仿宋" w:eastAsia="仿宋" w:cs="仿宋"/>
                <w:sz w:val="24"/>
              </w:rPr>
            </w:pPr>
          </w:p>
        </w:tc>
        <w:tc>
          <w:tcPr>
            <w:tcW w:w="1651" w:type="dxa"/>
            <w:vMerge w:val="continue"/>
            <w:vAlign w:val="center"/>
          </w:tcPr>
          <w:p>
            <w:pPr>
              <w:spacing w:line="440" w:lineRule="exact"/>
              <w:jc w:val="center"/>
              <w:rPr>
                <w:rFonts w:ascii="仿宋" w:hAnsi="仿宋" w:eastAsia="仿宋" w:cs="Arial"/>
                <w:bCs/>
                <w:color w:val="000000"/>
                <w:kern w:val="0"/>
                <w:sz w:val="24"/>
              </w:rPr>
            </w:pPr>
          </w:p>
        </w:tc>
        <w:tc>
          <w:tcPr>
            <w:tcW w:w="6346" w:type="dxa"/>
            <w:gridSpan w:val="2"/>
            <w:vAlign w:val="center"/>
          </w:tcPr>
          <w:p>
            <w:pPr>
              <w:spacing w:line="240" w:lineRule="atLeast"/>
              <w:jc w:val="center"/>
              <w:rPr>
                <w:rFonts w:ascii="仿宋" w:hAnsi="仿宋" w:eastAsia="仿宋" w:cs="仿宋"/>
                <w:sz w:val="24"/>
              </w:rPr>
            </w:pPr>
            <w:r>
              <w:rPr>
                <w:rFonts w:ascii="仿宋" w:hAnsi="仿宋" w:eastAsia="仿宋" w:cs="仿宋"/>
                <w:sz w:val="24"/>
              </w:rPr>
              <w:t>建筑玻璃</w:t>
            </w:r>
            <w:r>
              <w:rPr>
                <w:rFonts w:hint="eastAsia" w:ascii="仿宋" w:hAnsi="仿宋" w:eastAsia="仿宋" w:cs="仿宋"/>
                <w:sz w:val="24"/>
              </w:rPr>
              <w:t>检测</w:t>
            </w:r>
          </w:p>
          <w:p>
            <w:pPr>
              <w:spacing w:line="240" w:lineRule="atLeast"/>
              <w:jc w:val="center"/>
              <w:rPr>
                <w:rFonts w:ascii="仿宋" w:hAnsi="仿宋" w:eastAsia="仿宋" w:cs="仿宋"/>
                <w:sz w:val="24"/>
              </w:rPr>
            </w:pPr>
            <w:r>
              <w:rPr>
                <w:rFonts w:hint="eastAsia" w:ascii="仿宋" w:hAnsi="仿宋" w:eastAsia="仿宋" w:cs="仿宋"/>
                <w:sz w:val="24"/>
              </w:rPr>
              <w:t>（中空玻璃露点、可见光透射比、遮蔽系数）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1187" w:type="dxa"/>
            <w:vMerge w:val="continue"/>
            <w:vAlign w:val="center"/>
          </w:tcPr>
          <w:p>
            <w:pPr>
              <w:spacing w:line="440" w:lineRule="exact"/>
              <w:jc w:val="center"/>
              <w:rPr>
                <w:rFonts w:ascii="仿宋" w:hAnsi="仿宋" w:eastAsia="仿宋" w:cs="仿宋"/>
                <w:sz w:val="24"/>
              </w:rPr>
            </w:pPr>
          </w:p>
        </w:tc>
        <w:tc>
          <w:tcPr>
            <w:tcW w:w="1651" w:type="dxa"/>
            <w:vAlign w:val="center"/>
          </w:tcPr>
          <w:p>
            <w:pPr>
              <w:spacing w:line="440" w:lineRule="exact"/>
              <w:jc w:val="center"/>
              <w:rPr>
                <w:rFonts w:ascii="仿宋" w:hAnsi="仿宋" w:eastAsia="仿宋" w:cs="Arial"/>
                <w:bCs/>
                <w:color w:val="000000"/>
                <w:kern w:val="0"/>
                <w:sz w:val="24"/>
              </w:rPr>
            </w:pPr>
            <w:r>
              <w:rPr>
                <w:rFonts w:hint="eastAsia" w:ascii="仿宋" w:hAnsi="仿宋" w:eastAsia="仿宋" w:cs="Arial"/>
                <w:bCs/>
                <w:color w:val="000000"/>
                <w:kern w:val="0"/>
                <w:sz w:val="24"/>
              </w:rPr>
              <w:t>18:30-20:30</w:t>
            </w:r>
          </w:p>
        </w:tc>
        <w:tc>
          <w:tcPr>
            <w:tcW w:w="6346" w:type="dxa"/>
            <w:gridSpan w:val="2"/>
            <w:vAlign w:val="center"/>
          </w:tcPr>
          <w:p>
            <w:pPr>
              <w:spacing w:line="240" w:lineRule="atLeast"/>
              <w:jc w:val="center"/>
              <w:rPr>
                <w:rFonts w:ascii="仿宋" w:hAnsi="仿宋" w:eastAsia="仿宋" w:cs="仿宋"/>
                <w:sz w:val="24"/>
              </w:rPr>
            </w:pPr>
            <w:r>
              <w:rPr>
                <w:rFonts w:hint="eastAsia" w:ascii="仿宋" w:hAnsi="仿宋" w:eastAsia="仿宋" w:cs="仿宋"/>
                <w:sz w:val="24"/>
              </w:rPr>
              <w:t>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jc w:val="center"/>
        </w:trPr>
        <w:tc>
          <w:tcPr>
            <w:tcW w:w="1187" w:type="dxa"/>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7月7日</w:t>
            </w:r>
          </w:p>
          <w:p>
            <w:pPr>
              <w:spacing w:line="440" w:lineRule="exact"/>
              <w:jc w:val="center"/>
              <w:rPr>
                <w:rFonts w:ascii="仿宋" w:hAnsi="仿宋" w:eastAsia="仿宋" w:cs="仿宋"/>
                <w:sz w:val="24"/>
              </w:rPr>
            </w:pPr>
            <w:r>
              <w:rPr>
                <w:rFonts w:hint="eastAsia" w:ascii="仿宋" w:hAnsi="仿宋" w:eastAsia="仿宋" w:cs="Arial"/>
                <w:bCs/>
                <w:color w:val="000000"/>
                <w:kern w:val="0"/>
                <w:sz w:val="24"/>
              </w:rPr>
              <w:t>周日</w:t>
            </w:r>
          </w:p>
        </w:tc>
        <w:tc>
          <w:tcPr>
            <w:tcW w:w="1651" w:type="dxa"/>
            <w:vAlign w:val="center"/>
          </w:tcPr>
          <w:p>
            <w:pPr>
              <w:spacing w:line="440" w:lineRule="exact"/>
              <w:jc w:val="center"/>
              <w:rPr>
                <w:rFonts w:ascii="仿宋" w:hAnsi="仿宋" w:eastAsia="仿宋" w:cs="仿宋"/>
                <w:sz w:val="24"/>
              </w:rPr>
            </w:pPr>
            <w:r>
              <w:rPr>
                <w:rFonts w:hint="eastAsia" w:ascii="仿宋" w:hAnsi="仿宋" w:eastAsia="仿宋" w:cs="Arial"/>
                <w:bCs/>
                <w:color w:val="000000"/>
                <w:kern w:val="0"/>
                <w:sz w:val="24"/>
              </w:rPr>
              <w:t>8:30-17:30</w:t>
            </w:r>
          </w:p>
        </w:tc>
        <w:tc>
          <w:tcPr>
            <w:tcW w:w="1868" w:type="dxa"/>
            <w:vAlign w:val="center"/>
          </w:tcPr>
          <w:p>
            <w:pPr>
              <w:spacing w:line="240" w:lineRule="atLeast"/>
              <w:jc w:val="center"/>
              <w:rPr>
                <w:rFonts w:ascii="仿宋" w:hAnsi="仿宋" w:eastAsia="仿宋" w:cs="仿宋"/>
                <w:sz w:val="24"/>
              </w:rPr>
            </w:pPr>
            <w:r>
              <w:rPr>
                <w:rFonts w:hint="eastAsia" w:ascii="仿宋" w:hAnsi="仿宋" w:eastAsia="仿宋" w:cs="仿宋"/>
                <w:sz w:val="24"/>
              </w:rPr>
              <w:t>现场实操</w:t>
            </w:r>
          </w:p>
        </w:tc>
        <w:tc>
          <w:tcPr>
            <w:tcW w:w="4478" w:type="dxa"/>
            <w:vAlign w:val="center"/>
          </w:tcPr>
          <w:p>
            <w:pPr>
              <w:numPr>
                <w:ilvl w:val="0"/>
                <w:numId w:val="5"/>
              </w:numPr>
              <w:spacing w:line="240" w:lineRule="atLeast"/>
              <w:jc w:val="left"/>
              <w:rPr>
                <w:rFonts w:ascii="仿宋" w:hAnsi="仿宋" w:eastAsia="仿宋" w:cs="仿宋"/>
                <w:sz w:val="24"/>
              </w:rPr>
            </w:pPr>
            <w:r>
              <w:rPr>
                <w:rFonts w:hint="eastAsia" w:ascii="仿宋" w:hAnsi="仿宋" w:eastAsia="仿宋" w:cs="仿宋"/>
                <w:sz w:val="24"/>
              </w:rPr>
              <w:t>保温绝热材料物理性能检测</w:t>
            </w:r>
          </w:p>
          <w:p>
            <w:pPr>
              <w:numPr>
                <w:ilvl w:val="0"/>
                <w:numId w:val="5"/>
              </w:numPr>
              <w:spacing w:line="240" w:lineRule="atLeast"/>
              <w:jc w:val="left"/>
              <w:rPr>
                <w:rFonts w:ascii="仿宋" w:hAnsi="仿宋" w:eastAsia="仿宋" w:cs="仿宋"/>
                <w:sz w:val="24"/>
              </w:rPr>
            </w:pPr>
            <w:r>
              <w:rPr>
                <w:rFonts w:hint="eastAsia" w:ascii="仿宋" w:hAnsi="仿宋" w:eastAsia="仿宋" w:cs="仿宋"/>
                <w:sz w:val="24"/>
              </w:rPr>
              <w:t>保温材料燃烧性能检测</w:t>
            </w:r>
          </w:p>
          <w:p>
            <w:pPr>
              <w:numPr>
                <w:ilvl w:val="0"/>
                <w:numId w:val="5"/>
              </w:numPr>
              <w:spacing w:line="240" w:lineRule="atLeast"/>
              <w:jc w:val="left"/>
              <w:rPr>
                <w:rFonts w:ascii="仿宋" w:hAnsi="仿宋" w:eastAsia="仿宋" w:cs="仿宋"/>
                <w:sz w:val="24"/>
              </w:rPr>
            </w:pPr>
            <w:r>
              <w:rPr>
                <w:rFonts w:hint="eastAsia" w:ascii="仿宋" w:hAnsi="仿宋" w:eastAsia="仿宋" w:cs="仿宋"/>
                <w:sz w:val="24"/>
              </w:rPr>
              <w:t>门窗物理性能检测</w:t>
            </w:r>
          </w:p>
          <w:p>
            <w:pPr>
              <w:numPr>
                <w:ilvl w:val="0"/>
                <w:numId w:val="5"/>
              </w:numPr>
              <w:spacing w:line="240" w:lineRule="atLeast"/>
              <w:rPr>
                <w:rFonts w:ascii="仿宋" w:hAnsi="仿宋" w:eastAsia="仿宋" w:cs="仿宋"/>
                <w:sz w:val="24"/>
              </w:rPr>
            </w:pPr>
            <w:r>
              <w:rPr>
                <w:rFonts w:hint="eastAsia" w:ascii="仿宋" w:hAnsi="仿宋" w:eastAsia="仿宋" w:cs="仿宋"/>
                <w:sz w:val="24"/>
              </w:rPr>
              <w:t>建筑玻璃检测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1187" w:type="dxa"/>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7月8日</w:t>
            </w:r>
          </w:p>
          <w:p>
            <w:pPr>
              <w:spacing w:line="440" w:lineRule="exact"/>
              <w:jc w:val="center"/>
              <w:rPr>
                <w:rFonts w:ascii="仿宋" w:hAnsi="仿宋" w:eastAsia="仿宋" w:cs="Arial"/>
                <w:bCs/>
                <w:color w:val="000000"/>
                <w:kern w:val="0"/>
                <w:sz w:val="24"/>
              </w:rPr>
            </w:pPr>
            <w:r>
              <w:rPr>
                <w:rFonts w:hint="eastAsia" w:ascii="仿宋" w:hAnsi="仿宋" w:eastAsia="仿宋" w:cs="Arial"/>
                <w:bCs/>
                <w:color w:val="000000"/>
                <w:kern w:val="0"/>
                <w:sz w:val="24"/>
              </w:rPr>
              <w:t>周一</w:t>
            </w:r>
          </w:p>
        </w:tc>
        <w:tc>
          <w:tcPr>
            <w:tcW w:w="1651" w:type="dxa"/>
            <w:vAlign w:val="center"/>
          </w:tcPr>
          <w:p>
            <w:pPr>
              <w:spacing w:line="440" w:lineRule="exact"/>
              <w:jc w:val="center"/>
              <w:rPr>
                <w:rFonts w:ascii="仿宋" w:hAnsi="仿宋" w:eastAsia="仿宋" w:cs="Arial"/>
                <w:bCs/>
                <w:color w:val="000000"/>
                <w:kern w:val="0"/>
                <w:sz w:val="24"/>
              </w:rPr>
            </w:pPr>
            <w:r>
              <w:rPr>
                <w:rFonts w:hint="eastAsia" w:ascii="仿宋" w:hAnsi="仿宋" w:eastAsia="仿宋" w:cs="Arial"/>
                <w:bCs/>
                <w:color w:val="000000"/>
                <w:kern w:val="0"/>
                <w:sz w:val="24"/>
              </w:rPr>
              <w:t>9:00-11:00</w:t>
            </w:r>
          </w:p>
        </w:tc>
        <w:tc>
          <w:tcPr>
            <w:tcW w:w="6346" w:type="dxa"/>
            <w:gridSpan w:val="2"/>
            <w:vAlign w:val="center"/>
          </w:tcPr>
          <w:p>
            <w:pPr>
              <w:spacing w:line="240" w:lineRule="atLeast"/>
              <w:jc w:val="center"/>
              <w:rPr>
                <w:rFonts w:ascii="仿宋" w:hAnsi="仿宋" w:eastAsia="仿宋" w:cs="仿宋"/>
                <w:sz w:val="24"/>
              </w:rPr>
            </w:pPr>
            <w:r>
              <w:rPr>
                <w:rFonts w:hint="eastAsia" w:ascii="仿宋" w:hAnsi="仿宋" w:eastAsia="仿宋" w:cs="仿宋"/>
                <w:sz w:val="24"/>
              </w:rPr>
              <w:t>理论考试</w:t>
            </w:r>
          </w:p>
        </w:tc>
      </w:tr>
    </w:tbl>
    <w:p>
      <w:pPr>
        <w:widowControl/>
        <w:numPr>
          <w:ilvl w:val="0"/>
          <w:numId w:val="1"/>
        </w:numPr>
        <w:adjustRightInd w:val="0"/>
        <w:snapToGrid w:val="0"/>
        <w:spacing w:beforeLines="50"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培训师资</w:t>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本期培训班由中岩培训</w:t>
      </w:r>
      <w:r>
        <w:rPr>
          <w:rFonts w:hint="eastAsia" w:ascii="仿宋" w:hAnsi="仿宋" w:eastAsia="仿宋" w:cs="Arial"/>
          <w:bCs/>
          <w:kern w:val="0"/>
          <w:sz w:val="28"/>
          <w:szCs w:val="28"/>
        </w:rPr>
        <w:t>建筑节能检测</w:t>
      </w:r>
      <w:r>
        <w:rPr>
          <w:rFonts w:hint="eastAsia" w:ascii="仿宋" w:hAnsi="仿宋" w:eastAsia="仿宋" w:cs="Arial"/>
          <w:bCs/>
          <w:color w:val="000000"/>
          <w:kern w:val="0"/>
          <w:sz w:val="28"/>
          <w:szCs w:val="28"/>
        </w:rPr>
        <w:t>专家委员会的部分专家进行授课。</w:t>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岩培训专家委员会”由中国科学院、中国建筑科学研究院、各省建筑科学研究院、985/211高等院校和工程质量检测知名企业等领域的专家组成，专家委员会主要负责课程研发设计、教学大纲和教学计划、课件教材编写、新标准新技术研讨、培训授课等相关工作。</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培训证书</w:t>
      </w:r>
    </w:p>
    <w:p>
      <w:pPr>
        <w:widowControl/>
        <w:adjustRightInd w:val="0"/>
        <w:snapToGrid w:val="0"/>
        <w:spacing w:line="360" w:lineRule="auto"/>
        <w:ind w:firstLine="560" w:firstLineChars="200"/>
        <w:jc w:val="left"/>
        <w:rPr>
          <w:rFonts w:ascii="仿宋" w:hAnsi="仿宋" w:eastAsia="仿宋" w:cs="Arial"/>
          <w:b/>
          <w:color w:val="000000"/>
          <w:kern w:val="0"/>
          <w:sz w:val="28"/>
          <w:szCs w:val="28"/>
        </w:rPr>
      </w:pPr>
      <w:r>
        <w:rPr>
          <w:rFonts w:hint="eastAsia" w:ascii="仿宋" w:hAnsi="仿宋" w:eastAsia="仿宋" w:cs="Arial"/>
          <w:bCs/>
          <w:color w:val="000000"/>
          <w:kern w:val="0"/>
          <w:sz w:val="28"/>
          <w:szCs w:val="28"/>
        </w:rPr>
        <w:t>学员按要求完成所有培训学习后，参加由中国科学院武汉分院继续教育学院和中科院武汉岩土力学研究所统一组织的培训考试，考试合格后颁发《建设工程质量检测继续教育证》和《上岗职业培训证书》。</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培训地点</w:t>
      </w:r>
    </w:p>
    <w:p>
      <w:pPr>
        <w:widowControl/>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地点：好百年饭店（湖北武汉市江岸区汉口沿江大道131号步行街入口）</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培训费用</w:t>
      </w:r>
    </w:p>
    <w:p>
      <w:pPr>
        <w:widowControl/>
        <w:adjustRightInd w:val="0"/>
        <w:snapToGrid w:val="0"/>
        <w:spacing w:line="360" w:lineRule="auto"/>
        <w:ind w:firstLine="560" w:firstLineChars="200"/>
        <w:jc w:val="left"/>
        <w:rPr>
          <w:rFonts w:ascii="仿宋" w:hAnsi="仿宋" w:eastAsia="仿宋" w:cs="Arial"/>
          <w:b/>
          <w:kern w:val="0"/>
          <w:sz w:val="28"/>
          <w:szCs w:val="28"/>
        </w:rPr>
      </w:pPr>
      <w:r>
        <w:rPr>
          <w:rFonts w:hint="eastAsia" w:ascii="仿宋" w:hAnsi="仿宋" w:eastAsia="仿宋" w:cs="Arial"/>
          <w:bCs/>
          <w:kern w:val="0"/>
          <w:sz w:val="28"/>
          <w:szCs w:val="28"/>
        </w:rPr>
        <w:t>2600元/人。含培训费、资料费、证书办理及相关费用，培训期间免费提供午餐，住宿自理。</w:t>
      </w:r>
    </w:p>
    <w:p>
      <w:pPr>
        <w:widowControl/>
        <w:numPr>
          <w:ilvl w:val="0"/>
          <w:numId w:val="1"/>
        </w:numPr>
        <w:adjustRightInd w:val="0"/>
        <w:snapToGrid w:val="0"/>
        <w:spacing w:line="360" w:lineRule="auto"/>
        <w:ind w:firstLine="562" w:firstLineChars="200"/>
        <w:jc w:val="left"/>
        <w:rPr>
          <w:rFonts w:ascii="仿宋" w:hAnsi="仿宋" w:eastAsia="仿宋" w:cs="Arial"/>
          <w:b/>
          <w:kern w:val="0"/>
          <w:sz w:val="28"/>
          <w:szCs w:val="28"/>
        </w:rPr>
      </w:pPr>
      <w:r>
        <w:rPr>
          <w:rFonts w:hint="eastAsia" w:ascii="仿宋" w:hAnsi="仿宋" w:eastAsia="仿宋" w:cs="Arial"/>
          <w:b/>
          <w:kern w:val="0"/>
          <w:sz w:val="28"/>
          <w:szCs w:val="28"/>
        </w:rPr>
        <w:t>报名方式</w:t>
      </w:r>
    </w:p>
    <w:p>
      <w:pPr>
        <w:widowControl/>
        <w:adjustRightInd w:val="0"/>
        <w:snapToGrid w:val="0"/>
        <w:spacing w:line="360" w:lineRule="auto"/>
        <w:ind w:firstLine="560" w:firstLineChars="200"/>
        <w:jc w:val="left"/>
        <w:rPr>
          <w:rFonts w:ascii="仿宋" w:hAnsi="仿宋" w:eastAsia="仿宋" w:cs="Arial"/>
          <w:bCs/>
          <w:kern w:val="0"/>
          <w:sz w:val="28"/>
          <w:szCs w:val="28"/>
        </w:rPr>
      </w:pPr>
      <w:r>
        <w:rPr>
          <w:rFonts w:hint="eastAsia" w:ascii="仿宋" w:hAnsi="仿宋" w:eastAsia="仿宋" w:cs="Arial"/>
          <w:bCs/>
          <w:kern w:val="0"/>
          <w:sz w:val="28"/>
          <w:szCs w:val="28"/>
        </w:rPr>
        <w:t>1、</w:t>
      </w:r>
      <w:r>
        <w:fldChar w:fldCharType="begin"/>
      </w:r>
      <w:r>
        <w:instrText xml:space="preserve"> HYPERLINK "mailto:填写报名回执表（附件2），并发送至邮箱2161211837@qq.com。" </w:instrText>
      </w:r>
      <w:r>
        <w:fldChar w:fldCharType="separate"/>
      </w:r>
      <w:r>
        <w:rPr>
          <w:rStyle w:val="12"/>
          <w:rFonts w:hint="eastAsia" w:ascii="仿宋" w:hAnsi="仿宋" w:eastAsia="仿宋" w:cs="Arial"/>
          <w:bCs/>
          <w:color w:val="auto"/>
          <w:kern w:val="0"/>
          <w:sz w:val="28"/>
          <w:szCs w:val="28"/>
        </w:rPr>
        <w:t>填写报名回执表（附件1），发送至邮箱2161211837@qq.com。</w:t>
      </w:r>
      <w:r>
        <w:rPr>
          <w:rStyle w:val="12"/>
          <w:rFonts w:hint="eastAsia" w:ascii="仿宋" w:hAnsi="仿宋" w:eastAsia="仿宋" w:cs="Arial"/>
          <w:bCs/>
          <w:color w:val="auto"/>
          <w:kern w:val="0"/>
          <w:sz w:val="28"/>
          <w:szCs w:val="28"/>
        </w:rPr>
        <w:fldChar w:fldCharType="end"/>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kern w:val="0"/>
          <w:sz w:val="28"/>
          <w:szCs w:val="28"/>
        </w:rPr>
        <w:t>2、本期培训不接受现场报名缴费，</w:t>
      </w:r>
      <w:r>
        <w:rPr>
          <w:rFonts w:hint="eastAsia" w:ascii="仿宋" w:hAnsi="仿宋" w:eastAsia="仿宋" w:cs="Arial"/>
          <w:bCs/>
          <w:color w:val="000000"/>
          <w:kern w:val="0"/>
          <w:sz w:val="28"/>
          <w:szCs w:val="28"/>
        </w:rPr>
        <w:t>报名以缴费先后顺序为准（缴费方式及开票信息填写见附件2），人数有限，报满即止。</w:t>
      </w:r>
    </w:p>
    <w:p>
      <w:pPr>
        <w:adjustRightInd w:val="0"/>
        <w:snapToGrid w:val="0"/>
        <w:spacing w:line="360" w:lineRule="auto"/>
        <w:ind w:firstLine="562" w:firstLineChars="200"/>
        <w:jc w:val="left"/>
        <w:rPr>
          <w:rFonts w:ascii="仿宋" w:hAnsi="仿宋" w:eastAsia="仿宋" w:cs="Arial"/>
          <w:bCs/>
          <w:color w:val="000000"/>
          <w:kern w:val="0"/>
          <w:sz w:val="28"/>
          <w:szCs w:val="28"/>
        </w:rPr>
      </w:pPr>
      <w:r>
        <w:rPr>
          <w:rFonts w:hint="eastAsia" w:ascii="仿宋" w:hAnsi="仿宋" w:eastAsia="仿宋" w:cs="Arial"/>
          <w:b/>
          <w:bCs/>
          <w:color w:val="000000"/>
          <w:kern w:val="0"/>
          <w:sz w:val="28"/>
          <w:szCs w:val="28"/>
        </w:rPr>
        <w:t>注：</w:t>
      </w:r>
    </w:p>
    <w:p>
      <w:pPr>
        <w:adjustRightInd w:val="0"/>
        <w:snapToGrid w:val="0"/>
        <w:spacing w:line="360" w:lineRule="auto"/>
        <w:ind w:firstLine="560" w:firstLineChars="200"/>
        <w:jc w:val="left"/>
        <w:rPr>
          <w:rFonts w:ascii="仿宋" w:hAnsi="仿宋" w:eastAsia="仿宋" w:cs="Arial"/>
          <w:b/>
          <w:bCs/>
          <w:color w:val="000000"/>
          <w:kern w:val="0"/>
          <w:sz w:val="28"/>
          <w:szCs w:val="28"/>
        </w:rPr>
      </w:pPr>
      <w:r>
        <w:rPr>
          <w:rFonts w:hint="eastAsia" w:ascii="仿宋" w:hAnsi="仿宋" w:eastAsia="仿宋" w:cs="Arial"/>
          <w:bCs/>
          <w:color w:val="000000"/>
          <w:kern w:val="0"/>
          <w:sz w:val="28"/>
          <w:szCs w:val="28"/>
        </w:rPr>
        <w:t>1、首次参加培训的学员，报到当天携带2张2寸彩色登记照和身份证正反复印件1份。</w:t>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kern w:val="0"/>
          <w:sz w:val="28"/>
          <w:szCs w:val="28"/>
        </w:rPr>
        <w:t>2、参加过历届培训班的学员，报到当天携带《建设工程质量检测继续教育证》和1张</w:t>
      </w:r>
      <w:r>
        <w:rPr>
          <w:rFonts w:hint="eastAsia" w:ascii="仿宋" w:hAnsi="仿宋" w:eastAsia="仿宋" w:cs="Arial"/>
          <w:bCs/>
          <w:color w:val="000000"/>
          <w:kern w:val="0"/>
          <w:sz w:val="28"/>
          <w:szCs w:val="28"/>
        </w:rPr>
        <w:t>2寸彩色登记照</w:t>
      </w:r>
      <w:r>
        <w:rPr>
          <w:rFonts w:hint="eastAsia" w:ascii="仿宋" w:hAnsi="仿宋" w:eastAsia="仿宋" w:cs="Arial"/>
          <w:bCs/>
          <w:kern w:val="0"/>
          <w:sz w:val="28"/>
          <w:szCs w:val="28"/>
        </w:rPr>
        <w:t>。</w:t>
      </w: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联系方式：</w:t>
      </w:r>
    </w:p>
    <w:p>
      <w:pPr>
        <w:widowControl/>
        <w:adjustRightInd w:val="0"/>
        <w:snapToGrid w:val="0"/>
        <w:spacing w:line="40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bCs/>
          <w:color w:val="000000"/>
          <w:kern w:val="0"/>
          <w:sz w:val="28"/>
          <w:szCs w:val="28"/>
        </w:rPr>
        <w:t>联系人：石老师18071138869（微信同号）    QQ：2161211837</w:t>
      </w:r>
    </w:p>
    <w:p>
      <w:pPr>
        <w:widowControl/>
        <w:adjustRightInd w:val="0"/>
        <w:snapToGrid w:val="0"/>
        <w:spacing w:line="44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附件1：报名登记回执表(</w:t>
      </w:r>
      <w:r>
        <w:rPr>
          <w:rFonts w:hint="eastAsia" w:ascii="仿宋" w:hAnsi="仿宋" w:eastAsia="仿宋" w:cs="Arial"/>
          <w:bCs/>
          <w:kern w:val="0"/>
          <w:sz w:val="28"/>
          <w:szCs w:val="28"/>
        </w:rPr>
        <w:t>道路材料及现场检测</w:t>
      </w:r>
      <w:r>
        <w:rPr>
          <w:rFonts w:hint="eastAsia" w:ascii="仿宋" w:hAnsi="仿宋" w:eastAsia="仿宋" w:cs="仿宋"/>
          <w:color w:val="000000"/>
          <w:kern w:val="0"/>
          <w:sz w:val="28"/>
          <w:szCs w:val="28"/>
        </w:rPr>
        <w:t>）</w:t>
      </w:r>
    </w:p>
    <w:p>
      <w:pPr>
        <w:tabs>
          <w:tab w:val="left" w:pos="5580"/>
        </w:tabs>
        <w:adjustRightInd w:val="0"/>
        <w:snapToGrid w:val="0"/>
        <w:spacing w:line="4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附件2：发票开具确认单   附件3：住宿酒店预订</w:t>
      </w:r>
    </w:p>
    <w:p>
      <w:pPr>
        <w:tabs>
          <w:tab w:val="left" w:pos="5580"/>
        </w:tabs>
        <w:adjustRightInd w:val="0"/>
        <w:snapToGrid w:val="0"/>
        <w:spacing w:line="440" w:lineRule="exact"/>
        <w:ind w:firstLine="560" w:firstLineChars="200"/>
        <w:rPr>
          <w:rFonts w:ascii="仿宋" w:hAnsi="仿宋" w:eastAsia="仿宋" w:cs="仿宋"/>
          <w:color w:val="000000"/>
          <w:kern w:val="0"/>
          <w:sz w:val="28"/>
          <w:szCs w:val="28"/>
        </w:rPr>
      </w:pPr>
    </w:p>
    <w:p>
      <w:pPr>
        <w:tabs>
          <w:tab w:val="left" w:pos="5580"/>
        </w:tabs>
        <w:wordWrap w:val="0"/>
        <w:adjustRightInd w:val="0"/>
        <w:snapToGrid w:val="0"/>
        <w:spacing w:line="4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中国科学院武汉分院继续教育学院</w:t>
      </w:r>
    </w:p>
    <w:p>
      <w:pPr>
        <w:tabs>
          <w:tab w:val="left" w:pos="5580"/>
        </w:tabs>
        <w:wordWrap w:val="0"/>
        <w:adjustRightInd w:val="0"/>
        <w:snapToGrid w:val="0"/>
        <w:spacing w:line="4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中国科学院武汉岩土力学研究所</w:t>
      </w:r>
    </w:p>
    <w:p>
      <w:pPr>
        <w:tabs>
          <w:tab w:val="left" w:pos="5580"/>
        </w:tabs>
        <w:wordWrap w:val="0"/>
        <w:adjustRightInd w:val="0"/>
        <w:snapToGrid w:val="0"/>
        <w:spacing w:line="4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武汉建筑业协会</w:t>
      </w:r>
    </w:p>
    <w:p>
      <w:pPr>
        <w:tabs>
          <w:tab w:val="left" w:pos="5580"/>
        </w:tabs>
        <w:adjustRightInd w:val="0"/>
        <w:snapToGrid w:val="0"/>
        <w:spacing w:line="4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武汉中岩科技股份有限公司</w:t>
      </w:r>
    </w:p>
    <w:p>
      <w:pPr>
        <w:tabs>
          <w:tab w:val="left" w:pos="5580"/>
        </w:tabs>
        <w:wordWrap w:val="0"/>
        <w:adjustRightInd w:val="0"/>
        <w:snapToGrid w:val="0"/>
        <w:spacing w:line="400" w:lineRule="exact"/>
        <w:jc w:val="right"/>
        <w:rPr>
          <w:rFonts w:ascii="仿宋" w:hAnsi="仿宋" w:eastAsia="仿宋" w:cs="Arial"/>
          <w:color w:val="000000"/>
          <w:kern w:val="0"/>
          <w:sz w:val="28"/>
          <w:szCs w:val="32"/>
        </w:rPr>
      </w:pPr>
      <w:r>
        <w:rPr>
          <w:rFonts w:hint="eastAsia" w:ascii="仿宋" w:hAnsi="仿宋" w:eastAsia="仿宋" w:cs="Arial"/>
          <w:color w:val="000000"/>
          <w:kern w:val="0"/>
          <w:sz w:val="28"/>
          <w:szCs w:val="32"/>
        </w:rPr>
        <w:t>武汉中科岩土工程技术培训有限公司</w:t>
      </w:r>
    </w:p>
    <w:p>
      <w:pPr>
        <w:tabs>
          <w:tab w:val="left" w:pos="5580"/>
        </w:tabs>
        <w:adjustRightInd w:val="0"/>
        <w:snapToGrid w:val="0"/>
        <w:spacing w:line="400" w:lineRule="exact"/>
        <w:jc w:val="right"/>
        <w:rPr>
          <w:rFonts w:ascii="仿宋" w:hAnsi="仿宋" w:eastAsia="仿宋" w:cs="Arial"/>
          <w:color w:val="000000"/>
          <w:kern w:val="0"/>
          <w:sz w:val="28"/>
          <w:szCs w:val="32"/>
        </w:rPr>
      </w:pPr>
      <w:r>
        <w:rPr>
          <w:rFonts w:hint="eastAsia" w:ascii="仿宋" w:hAnsi="仿宋" w:eastAsia="仿宋" w:cs="Arial"/>
          <w:bCs/>
          <w:color w:val="000000"/>
          <w:kern w:val="0"/>
          <w:sz w:val="28"/>
          <w:szCs w:val="28"/>
        </w:rPr>
        <w:t xml:space="preserve">二〇一九年五月四日        </w:t>
      </w:r>
    </w:p>
    <w:p>
      <w:pPr>
        <w:tabs>
          <w:tab w:val="left" w:pos="5580"/>
        </w:tabs>
        <w:wordWrap w:val="0"/>
        <w:adjustRightInd w:val="0"/>
        <w:snapToGrid w:val="0"/>
        <w:spacing w:line="400" w:lineRule="exact"/>
        <w:jc w:val="center"/>
        <w:rPr>
          <w:rFonts w:ascii="仿宋" w:hAnsi="仿宋" w:eastAsia="仿宋" w:cs="Arial"/>
          <w:bCs/>
          <w:color w:val="000000"/>
          <w:kern w:val="0"/>
          <w:sz w:val="10"/>
          <w:szCs w:val="10"/>
        </w:rPr>
        <w:sectPr>
          <w:footerReference r:id="rId5" w:type="default"/>
          <w:pgSz w:w="11906" w:h="16838"/>
          <w:pgMar w:top="1440" w:right="1247" w:bottom="1440" w:left="1247" w:header="851" w:footer="992" w:gutter="0"/>
          <w:pgNumType w:start="1"/>
          <w:cols w:space="0" w:num="1"/>
          <w:docGrid w:type="lines" w:linePitch="312" w:charSpace="0"/>
        </w:sectPr>
      </w:pPr>
      <w:r>
        <w:rPr>
          <w:rFonts w:hint="eastAsia" w:ascii="仿宋" w:hAnsi="仿宋" w:eastAsia="仿宋" w:cs="Arial"/>
          <w:bCs/>
          <w:color w:val="000000"/>
          <w:kern w:val="0"/>
          <w:sz w:val="28"/>
          <w:szCs w:val="28"/>
        </w:rPr>
        <w:br w:type="page"/>
      </w:r>
    </w:p>
    <w:p>
      <w:pPr>
        <w:rPr>
          <w:rFonts w:ascii="仿宋" w:hAnsi="仿宋" w:eastAsia="仿宋"/>
          <w:b/>
          <w:color w:val="000000"/>
          <w:sz w:val="32"/>
          <w:szCs w:val="32"/>
        </w:rPr>
      </w:pPr>
      <w:r>
        <w:rPr>
          <w:rFonts w:hint="eastAsia" w:ascii="仿宋" w:hAnsi="仿宋" w:eastAsia="仿宋"/>
          <w:b/>
          <w:color w:val="000000"/>
          <w:sz w:val="28"/>
          <w:szCs w:val="28"/>
        </w:rPr>
        <w:t>附件1：</w:t>
      </w:r>
    </w:p>
    <w:p>
      <w:pPr>
        <w:adjustRightInd w:val="0"/>
        <w:snapToGrid w:val="0"/>
        <w:spacing w:line="360" w:lineRule="auto"/>
        <w:jc w:val="center"/>
        <w:rPr>
          <w:rFonts w:ascii="仿宋" w:hAnsi="仿宋" w:eastAsia="仿宋"/>
          <w:b/>
          <w:color w:val="000000"/>
          <w:sz w:val="32"/>
          <w:szCs w:val="32"/>
        </w:rPr>
      </w:pPr>
      <w:r>
        <w:rPr>
          <w:rFonts w:hint="eastAsia" w:ascii="仿宋" w:hAnsi="仿宋" w:eastAsia="仿宋"/>
          <w:b/>
          <w:color w:val="000000"/>
          <w:sz w:val="32"/>
          <w:szCs w:val="32"/>
        </w:rPr>
        <w:t>报名登记回执表(</w:t>
      </w:r>
      <w:r>
        <w:rPr>
          <w:rFonts w:hint="eastAsia" w:ascii="仿宋" w:hAnsi="仿宋" w:eastAsia="仿宋" w:cs="Arial"/>
          <w:b/>
          <w:kern w:val="0"/>
          <w:sz w:val="32"/>
          <w:szCs w:val="32"/>
        </w:rPr>
        <w:t>建筑节能检测第4期</w:t>
      </w:r>
      <w:r>
        <w:rPr>
          <w:rFonts w:hint="eastAsia" w:ascii="仿宋" w:hAnsi="仿宋" w:eastAsia="仿宋"/>
          <w:b/>
          <w:color w:val="000000"/>
          <w:sz w:val="32"/>
          <w:szCs w:val="32"/>
        </w:rPr>
        <w:t>）</w:t>
      </w:r>
    </w:p>
    <w:tbl>
      <w:tblPr>
        <w:tblStyle w:val="8"/>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813"/>
        <w:gridCol w:w="2643"/>
        <w:gridCol w:w="1559"/>
        <w:gridCol w:w="1417"/>
        <w:gridCol w:w="1418"/>
        <w:gridCol w:w="1701"/>
        <w:gridCol w:w="3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单位名称</w:t>
            </w:r>
          </w:p>
        </w:tc>
        <w:tc>
          <w:tcPr>
            <w:tcW w:w="7850" w:type="dxa"/>
            <w:gridSpan w:val="5"/>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培训联系人</w:t>
            </w: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通信地址</w:t>
            </w:r>
          </w:p>
        </w:tc>
        <w:tc>
          <w:tcPr>
            <w:tcW w:w="7850" w:type="dxa"/>
            <w:gridSpan w:val="5"/>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联系电话</w:t>
            </w: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姓名</w:t>
            </w:r>
          </w:p>
        </w:tc>
        <w:tc>
          <w:tcPr>
            <w:tcW w:w="813"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性别</w:t>
            </w:r>
          </w:p>
        </w:tc>
        <w:tc>
          <w:tcPr>
            <w:tcW w:w="2643"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联系电话</w:t>
            </w:r>
          </w:p>
        </w:tc>
        <w:tc>
          <w:tcPr>
            <w:tcW w:w="1559"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从事检测</w:t>
            </w:r>
          </w:p>
          <w:p>
            <w:pPr>
              <w:snapToGrid w:val="0"/>
              <w:spacing w:line="360" w:lineRule="auto"/>
              <w:jc w:val="center"/>
              <w:rPr>
                <w:rFonts w:ascii="仿宋" w:hAnsi="仿宋" w:eastAsia="仿宋"/>
                <w:b/>
                <w:sz w:val="28"/>
                <w:szCs w:val="28"/>
              </w:rPr>
            </w:pPr>
            <w:r>
              <w:rPr>
                <w:rFonts w:hint="eastAsia" w:ascii="仿宋" w:hAnsi="仿宋" w:eastAsia="仿宋"/>
                <w:b/>
                <w:sz w:val="28"/>
                <w:szCs w:val="28"/>
              </w:rPr>
              <w:t>工作年限</w:t>
            </w:r>
          </w:p>
        </w:tc>
        <w:tc>
          <w:tcPr>
            <w:tcW w:w="1417"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职务</w:t>
            </w:r>
          </w:p>
        </w:tc>
        <w:tc>
          <w:tcPr>
            <w:tcW w:w="1418"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技术职称</w:t>
            </w:r>
          </w:p>
        </w:tc>
        <w:tc>
          <w:tcPr>
            <w:tcW w:w="1701" w:type="dxa"/>
            <w:vAlign w:val="center"/>
          </w:tcPr>
          <w:p>
            <w:pPr>
              <w:snapToGrid w:val="0"/>
              <w:spacing w:line="360" w:lineRule="auto"/>
              <w:jc w:val="center"/>
              <w:rPr>
                <w:rFonts w:ascii="仿宋" w:hAnsi="仿宋" w:eastAsia="仿宋"/>
                <w:sz w:val="28"/>
                <w:szCs w:val="28"/>
              </w:rPr>
            </w:pPr>
            <w:r>
              <w:rPr>
                <w:rFonts w:ascii="仿宋" w:hAnsi="仿宋" w:eastAsia="仿宋"/>
                <w:b/>
                <w:sz w:val="28"/>
                <w:szCs w:val="28"/>
              </w:rPr>
              <w:t>QQ/</w:t>
            </w:r>
            <w:r>
              <w:rPr>
                <w:rFonts w:hint="eastAsia" w:ascii="仿宋" w:hAnsi="仿宋" w:eastAsia="仿宋"/>
                <w:b/>
                <w:sz w:val="28"/>
                <w:szCs w:val="28"/>
              </w:rPr>
              <w:t>邮箱</w:t>
            </w:r>
          </w:p>
        </w:tc>
        <w:tc>
          <w:tcPr>
            <w:tcW w:w="3475"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2643" w:type="dxa"/>
            <w:vAlign w:val="center"/>
          </w:tcPr>
          <w:p>
            <w:pPr>
              <w:snapToGrid w:val="0"/>
              <w:spacing w:line="360" w:lineRule="auto"/>
              <w:jc w:val="center"/>
              <w:rPr>
                <w:rFonts w:ascii="仿宋" w:hAnsi="仿宋" w:eastAsia="仿宋"/>
                <w:sz w:val="28"/>
                <w:szCs w:val="28"/>
              </w:rPr>
            </w:pPr>
          </w:p>
        </w:tc>
        <w:tc>
          <w:tcPr>
            <w:tcW w:w="1559" w:type="dxa"/>
            <w:vAlign w:val="center"/>
          </w:tcPr>
          <w:p>
            <w:pPr>
              <w:snapToGrid w:val="0"/>
              <w:spacing w:line="360" w:lineRule="auto"/>
              <w:jc w:val="center"/>
              <w:rPr>
                <w:rFonts w:ascii="仿宋" w:hAnsi="仿宋" w:eastAsia="仿宋"/>
                <w:sz w:val="28"/>
                <w:szCs w:val="28"/>
              </w:rPr>
            </w:pPr>
          </w:p>
        </w:tc>
        <w:tc>
          <w:tcPr>
            <w:tcW w:w="1417" w:type="dxa"/>
            <w:vAlign w:val="center"/>
          </w:tcPr>
          <w:p>
            <w:pPr>
              <w:snapToGrid w:val="0"/>
              <w:spacing w:line="360" w:lineRule="auto"/>
              <w:jc w:val="center"/>
              <w:rPr>
                <w:rFonts w:ascii="仿宋" w:hAnsi="仿宋" w:eastAsia="仿宋"/>
                <w:sz w:val="28"/>
                <w:szCs w:val="28"/>
              </w:rPr>
            </w:pPr>
          </w:p>
        </w:tc>
        <w:tc>
          <w:tcPr>
            <w:tcW w:w="1418" w:type="dxa"/>
            <w:vAlign w:val="center"/>
          </w:tcPr>
          <w:p>
            <w:pPr>
              <w:snapToGrid w:val="0"/>
              <w:spacing w:line="360" w:lineRule="auto"/>
              <w:jc w:val="center"/>
              <w:rPr>
                <w:rFonts w:ascii="仿宋" w:hAnsi="仿宋" w:eastAsia="仿宋"/>
                <w:sz w:val="28"/>
                <w:szCs w:val="28"/>
              </w:rPr>
            </w:pPr>
          </w:p>
        </w:tc>
        <w:tc>
          <w:tcPr>
            <w:tcW w:w="1701" w:type="dxa"/>
            <w:vAlign w:val="center"/>
          </w:tcPr>
          <w:p>
            <w:pPr>
              <w:snapToGrid w:val="0"/>
              <w:spacing w:line="360" w:lineRule="auto"/>
              <w:jc w:val="center"/>
              <w:rPr>
                <w:rFonts w:ascii="仿宋" w:hAnsi="仿宋" w:eastAsia="仿宋"/>
                <w:sz w:val="28"/>
                <w:szCs w:val="28"/>
              </w:rPr>
            </w:pPr>
          </w:p>
        </w:tc>
        <w:tc>
          <w:tcPr>
            <w:tcW w:w="3475"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30"/>
                <w:szCs w:val="30"/>
              </w:rPr>
            </w:pPr>
          </w:p>
        </w:tc>
        <w:tc>
          <w:tcPr>
            <w:tcW w:w="813" w:type="dxa"/>
            <w:vAlign w:val="center"/>
          </w:tcPr>
          <w:p>
            <w:pPr>
              <w:snapToGrid w:val="0"/>
              <w:spacing w:line="360" w:lineRule="auto"/>
              <w:jc w:val="center"/>
              <w:rPr>
                <w:rFonts w:ascii="仿宋" w:hAnsi="仿宋" w:eastAsia="仿宋"/>
                <w:sz w:val="30"/>
                <w:szCs w:val="30"/>
              </w:rPr>
            </w:pPr>
          </w:p>
        </w:tc>
        <w:tc>
          <w:tcPr>
            <w:tcW w:w="2643" w:type="dxa"/>
            <w:vAlign w:val="center"/>
          </w:tcPr>
          <w:p>
            <w:pPr>
              <w:snapToGrid w:val="0"/>
              <w:spacing w:line="360" w:lineRule="auto"/>
              <w:jc w:val="center"/>
              <w:rPr>
                <w:rFonts w:ascii="仿宋" w:hAnsi="仿宋" w:eastAsia="仿宋"/>
                <w:sz w:val="30"/>
                <w:szCs w:val="30"/>
              </w:rPr>
            </w:pPr>
          </w:p>
        </w:tc>
        <w:tc>
          <w:tcPr>
            <w:tcW w:w="1559" w:type="dxa"/>
            <w:vAlign w:val="center"/>
          </w:tcPr>
          <w:p>
            <w:pPr>
              <w:snapToGrid w:val="0"/>
              <w:spacing w:line="360" w:lineRule="auto"/>
              <w:jc w:val="center"/>
              <w:rPr>
                <w:rFonts w:ascii="仿宋" w:hAnsi="仿宋" w:eastAsia="仿宋"/>
                <w:sz w:val="30"/>
                <w:szCs w:val="30"/>
              </w:rPr>
            </w:pPr>
          </w:p>
        </w:tc>
        <w:tc>
          <w:tcPr>
            <w:tcW w:w="1417" w:type="dxa"/>
            <w:vAlign w:val="center"/>
          </w:tcPr>
          <w:p>
            <w:pPr>
              <w:snapToGrid w:val="0"/>
              <w:spacing w:line="360" w:lineRule="auto"/>
              <w:jc w:val="center"/>
              <w:rPr>
                <w:rFonts w:ascii="仿宋" w:hAnsi="仿宋" w:eastAsia="仿宋"/>
                <w:sz w:val="30"/>
                <w:szCs w:val="30"/>
              </w:rPr>
            </w:pPr>
          </w:p>
        </w:tc>
        <w:tc>
          <w:tcPr>
            <w:tcW w:w="1418" w:type="dxa"/>
            <w:vAlign w:val="center"/>
          </w:tcPr>
          <w:p>
            <w:pPr>
              <w:snapToGrid w:val="0"/>
              <w:spacing w:line="360" w:lineRule="auto"/>
              <w:jc w:val="center"/>
              <w:rPr>
                <w:rFonts w:ascii="仿宋" w:hAnsi="仿宋" w:eastAsia="仿宋"/>
                <w:sz w:val="30"/>
                <w:szCs w:val="30"/>
              </w:rPr>
            </w:pPr>
          </w:p>
        </w:tc>
        <w:tc>
          <w:tcPr>
            <w:tcW w:w="1701" w:type="dxa"/>
            <w:vAlign w:val="center"/>
          </w:tcPr>
          <w:p>
            <w:pPr>
              <w:snapToGrid w:val="0"/>
              <w:spacing w:line="360" w:lineRule="auto"/>
              <w:jc w:val="center"/>
              <w:rPr>
                <w:rFonts w:ascii="仿宋" w:hAnsi="仿宋" w:eastAsia="仿宋"/>
                <w:sz w:val="30"/>
                <w:szCs w:val="30"/>
              </w:rPr>
            </w:pPr>
          </w:p>
        </w:tc>
        <w:tc>
          <w:tcPr>
            <w:tcW w:w="3475" w:type="dxa"/>
            <w:vAlign w:val="center"/>
          </w:tcPr>
          <w:p>
            <w:pPr>
              <w:snapToGrid w:val="0"/>
              <w:spacing w:line="360" w:lineRule="auto"/>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30"/>
                <w:szCs w:val="30"/>
              </w:rPr>
            </w:pPr>
          </w:p>
        </w:tc>
        <w:tc>
          <w:tcPr>
            <w:tcW w:w="813" w:type="dxa"/>
            <w:vAlign w:val="center"/>
          </w:tcPr>
          <w:p>
            <w:pPr>
              <w:snapToGrid w:val="0"/>
              <w:spacing w:line="360" w:lineRule="auto"/>
              <w:jc w:val="center"/>
              <w:rPr>
                <w:rFonts w:ascii="仿宋" w:hAnsi="仿宋" w:eastAsia="仿宋"/>
                <w:sz w:val="30"/>
                <w:szCs w:val="30"/>
              </w:rPr>
            </w:pPr>
          </w:p>
        </w:tc>
        <w:tc>
          <w:tcPr>
            <w:tcW w:w="2643" w:type="dxa"/>
            <w:vAlign w:val="center"/>
          </w:tcPr>
          <w:p>
            <w:pPr>
              <w:snapToGrid w:val="0"/>
              <w:spacing w:line="360" w:lineRule="auto"/>
              <w:jc w:val="center"/>
              <w:rPr>
                <w:rFonts w:ascii="仿宋" w:hAnsi="仿宋" w:eastAsia="仿宋"/>
                <w:sz w:val="30"/>
                <w:szCs w:val="30"/>
              </w:rPr>
            </w:pPr>
          </w:p>
        </w:tc>
        <w:tc>
          <w:tcPr>
            <w:tcW w:w="1559" w:type="dxa"/>
            <w:vAlign w:val="center"/>
          </w:tcPr>
          <w:p>
            <w:pPr>
              <w:snapToGrid w:val="0"/>
              <w:spacing w:line="360" w:lineRule="auto"/>
              <w:jc w:val="center"/>
              <w:rPr>
                <w:rFonts w:ascii="仿宋" w:hAnsi="仿宋" w:eastAsia="仿宋"/>
                <w:sz w:val="30"/>
                <w:szCs w:val="30"/>
              </w:rPr>
            </w:pPr>
          </w:p>
        </w:tc>
        <w:tc>
          <w:tcPr>
            <w:tcW w:w="1417" w:type="dxa"/>
            <w:vAlign w:val="center"/>
          </w:tcPr>
          <w:p>
            <w:pPr>
              <w:snapToGrid w:val="0"/>
              <w:spacing w:line="360" w:lineRule="auto"/>
              <w:jc w:val="center"/>
              <w:rPr>
                <w:rFonts w:ascii="仿宋" w:hAnsi="仿宋" w:eastAsia="仿宋"/>
                <w:sz w:val="30"/>
                <w:szCs w:val="30"/>
              </w:rPr>
            </w:pPr>
          </w:p>
        </w:tc>
        <w:tc>
          <w:tcPr>
            <w:tcW w:w="1418" w:type="dxa"/>
            <w:vAlign w:val="center"/>
          </w:tcPr>
          <w:p>
            <w:pPr>
              <w:snapToGrid w:val="0"/>
              <w:spacing w:line="360" w:lineRule="auto"/>
              <w:jc w:val="center"/>
              <w:rPr>
                <w:rFonts w:ascii="仿宋" w:hAnsi="仿宋" w:eastAsia="仿宋"/>
                <w:sz w:val="30"/>
                <w:szCs w:val="30"/>
              </w:rPr>
            </w:pPr>
          </w:p>
        </w:tc>
        <w:tc>
          <w:tcPr>
            <w:tcW w:w="1701" w:type="dxa"/>
            <w:vAlign w:val="center"/>
          </w:tcPr>
          <w:p>
            <w:pPr>
              <w:snapToGrid w:val="0"/>
              <w:spacing w:line="360" w:lineRule="auto"/>
              <w:jc w:val="center"/>
              <w:rPr>
                <w:rFonts w:ascii="仿宋" w:hAnsi="仿宋" w:eastAsia="仿宋"/>
                <w:sz w:val="30"/>
                <w:szCs w:val="30"/>
              </w:rPr>
            </w:pPr>
          </w:p>
        </w:tc>
        <w:tc>
          <w:tcPr>
            <w:tcW w:w="3475" w:type="dxa"/>
            <w:vAlign w:val="center"/>
          </w:tcPr>
          <w:p>
            <w:pPr>
              <w:snapToGrid w:val="0"/>
              <w:spacing w:line="360" w:lineRule="auto"/>
              <w:jc w:val="center"/>
              <w:rPr>
                <w:rFonts w:ascii="仿宋" w:hAnsi="仿宋" w:eastAsia="仿宋"/>
                <w:sz w:val="30"/>
                <w:szCs w:val="30"/>
              </w:rPr>
            </w:pPr>
          </w:p>
        </w:tc>
      </w:tr>
    </w:tbl>
    <w:p>
      <w:pPr>
        <w:widowControl/>
        <w:adjustRightInd w:val="0"/>
        <w:snapToGrid w:val="0"/>
        <w:spacing w:line="360" w:lineRule="auto"/>
        <w:jc w:val="left"/>
        <w:rPr>
          <w:rFonts w:ascii="仿宋" w:hAnsi="仿宋" w:eastAsia="仿宋" w:cs="Arial"/>
          <w:bCs/>
          <w:color w:val="000000"/>
          <w:kern w:val="0"/>
          <w:sz w:val="28"/>
          <w:szCs w:val="28"/>
        </w:rPr>
      </w:pPr>
    </w:p>
    <w:p>
      <w:pPr>
        <w:rPr>
          <w:rFonts w:ascii="仿宋" w:hAnsi="仿宋" w:eastAsia="仿宋"/>
          <w:b/>
          <w:color w:val="000000"/>
          <w:sz w:val="28"/>
          <w:szCs w:val="28"/>
        </w:rPr>
      </w:pPr>
      <w:r>
        <w:rPr>
          <w:rFonts w:hint="eastAsia" w:ascii="仿宋" w:hAnsi="仿宋" w:eastAsia="仿宋"/>
          <w:b/>
          <w:color w:val="000000"/>
          <w:sz w:val="28"/>
          <w:szCs w:val="28"/>
        </w:rPr>
        <w:t>附件2：</w:t>
      </w:r>
    </w:p>
    <w:p>
      <w:pPr>
        <w:widowControl/>
        <w:adjustRightInd w:val="0"/>
        <w:snapToGrid w:val="0"/>
        <w:spacing w:beforeLines="50" w:line="360" w:lineRule="auto"/>
        <w:jc w:val="center"/>
        <w:rPr>
          <w:rFonts w:ascii="仿宋" w:hAnsi="仿宋" w:eastAsia="仿宋"/>
          <w:b/>
          <w:color w:val="000000"/>
          <w:sz w:val="32"/>
          <w:szCs w:val="32"/>
        </w:rPr>
      </w:pPr>
      <w:r>
        <w:rPr>
          <w:rFonts w:hint="eastAsia" w:ascii="仿宋" w:hAnsi="仿宋" w:eastAsia="仿宋"/>
          <w:b/>
          <w:color w:val="000000"/>
          <w:sz w:val="32"/>
          <w:szCs w:val="32"/>
        </w:rPr>
        <w:t>发票开具确认单</w:t>
      </w:r>
    </w:p>
    <w:tbl>
      <w:tblPr>
        <w:tblStyle w:val="8"/>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4683"/>
        <w:gridCol w:w="2202"/>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普通发票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专用发票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开票地址</w:t>
            </w:r>
          </w:p>
        </w:tc>
        <w:tc>
          <w:tcPr>
            <w:tcW w:w="4683" w:type="dxa"/>
            <w:shd w:val="clear" w:color="auto" w:fill="auto"/>
            <w:vAlign w:val="center"/>
          </w:tc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开票电话</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开户行</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账号</w:t>
            </w:r>
          </w:p>
        </w:tc>
        <w:tc>
          <w:tcPr>
            <w:tcW w:w="5593" w:type="dxa"/>
            <w:shd w:val="clear" w:color="auto" w:fill="auto"/>
            <w:vAlign w:val="center"/>
          </w:tcPr>
          <w:p>
            <w:pPr>
              <w:spacing w:line="360" w:lineRule="exact"/>
              <w:jc w:val="center"/>
              <w:rPr>
                <w:rFonts w:ascii="仿宋" w:hAnsi="仿宋" w:eastAsia="仿宋"/>
                <w:sz w:val="28"/>
                <w:szCs w:val="28"/>
              </w:rPr>
            </w:pPr>
          </w:p>
        </w:tc>
      </w:tr>
    </w:tbl>
    <w:p>
      <w:pPr>
        <w:widowControl/>
        <w:numPr>
          <w:ilvl w:val="0"/>
          <w:numId w:val="6"/>
        </w:numPr>
        <w:adjustRightInd w:val="0"/>
        <w:snapToGrid w:val="0"/>
        <w:spacing w:line="360" w:lineRule="auto"/>
        <w:jc w:val="left"/>
        <w:rPr>
          <w:rFonts w:ascii="仿宋" w:hAnsi="仿宋" w:eastAsia="仿宋" w:cs="Arial"/>
          <w:bCs/>
          <w:kern w:val="0"/>
          <w:sz w:val="28"/>
          <w:szCs w:val="28"/>
        </w:rPr>
        <w:sectPr>
          <w:headerReference r:id="rId6" w:type="default"/>
          <w:footerReference r:id="rId7" w:type="default"/>
          <w:pgSz w:w="16838" w:h="11906" w:orient="landscape"/>
          <w:pgMar w:top="1440" w:right="1080" w:bottom="1440" w:left="1080" w:header="851" w:footer="992" w:gutter="0"/>
          <w:cols w:space="720" w:num="1"/>
          <w:docGrid w:type="linesAndChars" w:linePitch="312" w:charSpace="0"/>
        </w:sectPr>
      </w:pPr>
    </w:p>
    <w:p>
      <w:pPr>
        <w:widowControl/>
        <w:adjustRightInd w:val="0"/>
        <w:snapToGrid w:val="0"/>
        <w:spacing w:line="360" w:lineRule="auto"/>
        <w:jc w:val="left"/>
        <w:rPr>
          <w:rFonts w:ascii="仿宋" w:hAnsi="仿宋" w:eastAsia="仿宋" w:cs="Arial"/>
          <w:bCs/>
          <w:kern w:val="0"/>
          <w:sz w:val="28"/>
          <w:szCs w:val="28"/>
        </w:rPr>
      </w:pPr>
    </w:p>
    <w:p>
      <w:pPr>
        <w:widowControl/>
        <w:numPr>
          <w:ilvl w:val="0"/>
          <w:numId w:val="6"/>
        </w:numPr>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汇款账号：</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开户行：中信银行武汉分行东湖支行</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单  位：武汉中科岩土工程技术培训有限公司</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账  号：8111501013000423011</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行  号：302521038110（电汇）</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清算行号：216178（支票）</w:t>
      </w:r>
    </w:p>
    <w:p>
      <w:pPr>
        <w:widowControl/>
        <w:adjustRightInd w:val="0"/>
        <w:snapToGrid w:val="0"/>
        <w:spacing w:line="360" w:lineRule="auto"/>
        <w:jc w:val="left"/>
        <w:rPr>
          <w:rFonts w:ascii="仿宋" w:hAnsi="仿宋" w:eastAsia="仿宋" w:cs="Arial"/>
          <w:bCs/>
          <w:kern w:val="0"/>
          <w:sz w:val="28"/>
          <w:szCs w:val="28"/>
        </w:rPr>
      </w:pPr>
    </w:p>
    <w:p>
      <w:pPr>
        <w:widowControl/>
        <w:numPr>
          <w:ilvl w:val="0"/>
          <w:numId w:val="6"/>
        </w:numPr>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color w:val="000000"/>
          <w:kern w:val="0"/>
          <w:sz w:val="28"/>
          <w:szCs w:val="28"/>
        </w:rPr>
        <w:drawing>
          <wp:anchor distT="0" distB="0" distL="114935" distR="114935" simplePos="0" relativeHeight="251696128" behindDoc="0" locked="0" layoutInCell="1" allowOverlap="1">
            <wp:simplePos x="0" y="0"/>
            <wp:positionH relativeFrom="column">
              <wp:posOffset>2712085</wp:posOffset>
            </wp:positionH>
            <wp:positionV relativeFrom="paragraph">
              <wp:posOffset>330200</wp:posOffset>
            </wp:positionV>
            <wp:extent cx="1763395" cy="1753235"/>
            <wp:effectExtent l="0" t="0" r="4445" b="14605"/>
            <wp:wrapSquare wrapText="left"/>
            <wp:docPr id="4" name="图片 4" descr="46220685857497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62206858574970126"/>
                    <pic:cNvPicPr>
                      <a:picLocks noChangeAspect="1"/>
                    </pic:cNvPicPr>
                  </pic:nvPicPr>
                  <pic:blipFill>
                    <a:blip r:embed="rId12"/>
                    <a:srcRect l="17891" t="32865" r="18054" b="25181"/>
                    <a:stretch>
                      <a:fillRect/>
                    </a:stretch>
                  </pic:blipFill>
                  <pic:spPr>
                    <a:xfrm>
                      <a:off x="0" y="0"/>
                      <a:ext cx="1763395" cy="1753235"/>
                    </a:xfrm>
                    <a:prstGeom prst="rect">
                      <a:avLst/>
                    </a:prstGeom>
                  </pic:spPr>
                </pic:pic>
              </a:graphicData>
            </a:graphic>
          </wp:anchor>
        </w:drawing>
      </w:r>
      <w:r>
        <w:rPr>
          <w:rFonts w:hint="eastAsia" w:ascii="仿宋" w:hAnsi="仿宋" w:eastAsia="仿宋" w:cs="Arial"/>
          <w:bCs/>
          <w:color w:val="000000"/>
          <w:kern w:val="0"/>
          <w:sz w:val="28"/>
          <w:szCs w:val="28"/>
        </w:rPr>
        <w:t xml:space="preserve">支付宝收款账号： </w:t>
      </w:r>
    </w:p>
    <w:p>
      <w:pPr>
        <w:widowControl/>
        <w:adjustRightInd w:val="0"/>
        <w:snapToGrid w:val="0"/>
        <w:spacing w:line="360" w:lineRule="auto"/>
        <w:ind w:firstLine="630" w:firstLineChars="300"/>
        <w:jc w:val="left"/>
        <w:rPr>
          <w:rFonts w:eastAsia="仿宋"/>
          <w:bCs/>
          <w:kern w:val="0"/>
          <w:sz w:val="28"/>
          <w:szCs w:val="28"/>
        </w:rPr>
      </w:pPr>
      <w:r>
        <w:fldChar w:fldCharType="begin"/>
      </w:r>
      <w:r>
        <w:instrText xml:space="preserve"> HYPERLINK "mailto:2161211837@qq.com" </w:instrText>
      </w:r>
      <w:r>
        <w:fldChar w:fldCharType="separate"/>
      </w:r>
      <w:r>
        <w:rPr>
          <w:rStyle w:val="12"/>
          <w:rFonts w:eastAsia="仿宋"/>
          <w:bCs/>
          <w:color w:val="000000"/>
          <w:kern w:val="0"/>
          <w:sz w:val="28"/>
          <w:szCs w:val="28"/>
        </w:rPr>
        <w:t>2161211837@qq.com</w:t>
      </w:r>
      <w:r>
        <w:rPr>
          <w:rStyle w:val="12"/>
          <w:rFonts w:eastAsia="仿宋"/>
          <w:bCs/>
          <w:color w:val="000000"/>
          <w:kern w:val="0"/>
          <w:sz w:val="28"/>
          <w:szCs w:val="28"/>
        </w:rPr>
        <w:fldChar w:fldCharType="end"/>
      </w:r>
    </w:p>
    <w:p>
      <w:pPr>
        <w:widowControl/>
        <w:adjustRightInd w:val="0"/>
        <w:snapToGrid w:val="0"/>
        <w:spacing w:line="360" w:lineRule="auto"/>
        <w:jc w:val="left"/>
        <w:rPr>
          <w:rFonts w:ascii="仿宋" w:hAnsi="仿宋" w:eastAsia="仿宋"/>
          <w:b/>
          <w:color w:val="000000"/>
          <w:sz w:val="28"/>
          <w:szCs w:val="28"/>
        </w:rPr>
        <w:sectPr>
          <w:type w:val="continuous"/>
          <w:pgSz w:w="16838" w:h="11906" w:orient="landscape"/>
          <w:pgMar w:top="1440" w:right="1080" w:bottom="1440" w:left="1080" w:header="851" w:footer="992" w:gutter="0"/>
          <w:cols w:space="210" w:num="2"/>
          <w:docGrid w:type="linesAndChars" w:linePitch="312" w:charSpace="0"/>
        </w:sectPr>
      </w:pPr>
      <w:r>
        <w:rPr>
          <w:rFonts w:hint="eastAsia" w:ascii="仿宋" w:hAnsi="仿宋" w:eastAsia="仿宋" w:cs="Arial"/>
          <w:b/>
          <w:color w:val="000000"/>
          <w:kern w:val="0"/>
          <w:sz w:val="28"/>
          <w:szCs w:val="28"/>
        </w:rPr>
        <w:t>注：</w:t>
      </w:r>
      <w:r>
        <w:rPr>
          <w:rFonts w:hint="eastAsia" w:ascii="仿宋" w:hAnsi="仿宋" w:eastAsia="仿宋" w:cs="Arial"/>
          <w:bCs/>
          <w:color w:val="000000"/>
          <w:kern w:val="0"/>
          <w:sz w:val="28"/>
          <w:szCs w:val="28"/>
        </w:rPr>
        <w:t>缴费时请备注培训费以及单位名称，并及时与会务组联系，便于会务组查账。请各单位提前与公司财务核实培训费发票的类型。</w:t>
      </w:r>
    </w:p>
    <w:p>
      <w:pPr>
        <w:rPr>
          <w:rFonts w:ascii="仿宋" w:hAnsi="仿宋" w:eastAsia="仿宋"/>
          <w:b/>
          <w:color w:val="000000"/>
          <w:sz w:val="28"/>
          <w:szCs w:val="28"/>
        </w:rPr>
      </w:pPr>
      <w:r>
        <w:drawing>
          <wp:anchor distT="0" distB="0" distL="114300" distR="114300" simplePos="0" relativeHeight="251697152" behindDoc="0" locked="0" layoutInCell="1" allowOverlap="1">
            <wp:simplePos x="0" y="0"/>
            <wp:positionH relativeFrom="column">
              <wp:posOffset>4074795</wp:posOffset>
            </wp:positionH>
            <wp:positionV relativeFrom="paragraph">
              <wp:posOffset>83820</wp:posOffset>
            </wp:positionV>
            <wp:extent cx="5297805" cy="3521075"/>
            <wp:effectExtent l="0" t="0" r="5715" b="14605"/>
            <wp:wrapSquare wrapText="bothSides"/>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3"/>
                    <a:stretch>
                      <a:fillRect/>
                    </a:stretch>
                  </pic:blipFill>
                  <pic:spPr>
                    <a:xfrm>
                      <a:off x="0" y="0"/>
                      <a:ext cx="5297805" cy="3521075"/>
                    </a:xfrm>
                    <a:prstGeom prst="rect">
                      <a:avLst/>
                    </a:prstGeom>
                    <a:noFill/>
                    <a:ln>
                      <a:noFill/>
                    </a:ln>
                  </pic:spPr>
                </pic:pic>
              </a:graphicData>
            </a:graphic>
          </wp:anchor>
        </w:drawing>
      </w:r>
      <w:r>
        <w:rPr>
          <w:rFonts w:hint="eastAsia" w:ascii="仿宋" w:hAnsi="仿宋" w:eastAsia="仿宋"/>
          <w:b/>
          <w:color w:val="000000"/>
          <w:sz w:val="28"/>
          <w:szCs w:val="28"/>
        </w:rPr>
        <w:t>附件3：</w:t>
      </w:r>
    </w:p>
    <w:p>
      <w:pPr>
        <w:rPr>
          <w:rFonts w:ascii="仿宋" w:hAnsi="仿宋" w:eastAsia="仿宋"/>
          <w:bCs/>
          <w:color w:val="000000"/>
          <w:sz w:val="28"/>
          <w:szCs w:val="28"/>
        </w:rPr>
      </w:pPr>
      <w:r>
        <w:rPr>
          <w:rFonts w:hint="eastAsia" w:ascii="仿宋" w:hAnsi="仿宋" w:eastAsia="仿宋"/>
          <w:bCs/>
          <w:color w:val="000000"/>
          <w:sz w:val="28"/>
          <w:szCs w:val="28"/>
        </w:rPr>
        <w:t>如需住宿，请直接与酒店联系预订，费用自理。</w:t>
      </w:r>
    </w:p>
    <w:p>
      <w:pPr>
        <w:rPr>
          <w:rFonts w:ascii="仿宋" w:hAnsi="仿宋" w:eastAsia="仿宋"/>
          <w:bCs/>
          <w:color w:val="000000"/>
          <w:sz w:val="28"/>
          <w:szCs w:val="28"/>
        </w:rPr>
      </w:pPr>
      <w:r>
        <w:rPr>
          <w:rFonts w:hint="eastAsia" w:ascii="仿宋" w:hAnsi="仿宋" w:eastAsia="仿宋"/>
          <w:bCs/>
          <w:color w:val="000000"/>
          <w:sz w:val="28"/>
          <w:szCs w:val="28"/>
        </w:rPr>
        <w:t xml:space="preserve">（酒店预订请报：“参加中岩建筑节能检测培训班”） </w:t>
      </w:r>
    </w:p>
    <w:p>
      <w:pPr>
        <w:widowControl/>
        <w:adjustRightInd w:val="0"/>
        <w:snapToGrid w:val="0"/>
        <w:spacing w:line="360" w:lineRule="auto"/>
        <w:jc w:val="left"/>
        <w:rPr>
          <w:rFonts w:ascii="仿宋" w:hAnsi="仿宋" w:eastAsia="仿宋" w:cs="Arial"/>
          <w:bCs/>
          <w:color w:val="000000"/>
          <w:kern w:val="0"/>
          <w:sz w:val="28"/>
          <w:szCs w:val="28"/>
        </w:rPr>
      </w:pPr>
    </w:p>
    <w:p>
      <w:pPr>
        <w:widowControl/>
        <w:adjustRightInd w:val="0"/>
        <w:snapToGrid w:val="0"/>
        <w:spacing w:line="360" w:lineRule="auto"/>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好百年饭店</w:t>
      </w: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湖北武汉市江汉区汉口沿江大道131号（步行街入口）</w:t>
      </w: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订房电话:杨经理15827300598</w:t>
      </w: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标间:278(含双早)</w:t>
      </w:r>
    </w:p>
    <w:sectPr>
      <w:headerReference r:id="rId8" w:type="default"/>
      <w:footerReference r:id="rId9" w:type="default"/>
      <w:pgSz w:w="16838" w:h="11906" w:orient="landscape"/>
      <w:pgMar w:top="1440" w:right="1080" w:bottom="1440" w:left="108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tabs>
        <w:tab w:val="center" w:pos="4873"/>
        <w:tab w:val="right" w:pos="9866"/>
      </w:tabs>
      <w:spacing w:line="380" w:lineRule="exact"/>
      <w:ind w:firstLine="0" w:firstLineChars="0"/>
      <w:jc w:val="left"/>
      <w:rPr>
        <w:rFonts w:ascii="华文楷体" w:hAnsi="华文楷体" w:eastAsia="华文楷体"/>
        <w:color w:val="C00000"/>
        <w:sz w:val="28"/>
        <w:szCs w:val="28"/>
      </w:rPr>
    </w:pPr>
    <w:r>
      <w:rPr>
        <w:rFonts w:hint="eastAsia" w:ascii="华文楷体" w:hAnsi="华文楷体" w:eastAsia="华文楷体"/>
        <w:color w:val="C00000"/>
        <w:sz w:val="28"/>
        <w:szCs w:val="28"/>
      </w:rPr>
      <w:tab/>
    </w:r>
    <w:r>
      <w:rPr>
        <w:rFonts w:hint="eastAsia" w:ascii="华文楷体" w:hAnsi="华文楷体" w:eastAsia="华文楷体"/>
        <w:color w:val="C00000"/>
        <w:sz w:val="28"/>
        <w:szCs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tabs>
        <w:tab w:val="center" w:pos="4873"/>
        <w:tab w:val="right" w:pos="9866"/>
      </w:tabs>
      <w:spacing w:line="380" w:lineRule="exact"/>
      <w:ind w:firstLine="0" w:firstLineChars="0"/>
      <w:jc w:val="left"/>
      <w:rPr>
        <w:rFonts w:ascii="华文楷体" w:hAnsi="华文楷体" w:eastAsia="华文楷体"/>
        <w:color w:val="C00000"/>
        <w:sz w:val="28"/>
        <w:szCs w:val="28"/>
      </w:rPr>
    </w:pPr>
    <w:r>
      <w:rPr>
        <w:sz w:val="28"/>
      </w:rPr>
      <w:pict>
        <v:shape id="_x0000_s2051" o:spid="_x0000_s2051"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r>
      <w:rPr>
        <w:rFonts w:hint="eastAsia" w:ascii="华文楷体" w:hAnsi="华文楷体" w:eastAsia="华文楷体"/>
        <w:color w:val="C00000"/>
        <w:sz w:val="28"/>
        <w:szCs w:val="28"/>
      </w:rPr>
      <w:tab/>
    </w:r>
    <w:r>
      <w:rPr>
        <w:rFonts w:hint="eastAsia" w:ascii="华文楷体" w:hAnsi="华文楷体" w:eastAsia="华文楷体"/>
        <w:color w:val="C00000"/>
        <w:sz w:val="28"/>
        <w:szCs w:val="2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firstLine="0" w:firstLineChars="0"/>
      <w:jc w:val="right"/>
      <w:rPr>
        <w:rFonts w:ascii="华文楷体" w:hAnsi="华文楷体" w:eastAsia="华文楷体"/>
        <w:color w:val="C00000"/>
        <w:sz w:val="28"/>
        <w:szCs w:val="28"/>
      </w:rPr>
    </w:pPr>
    <w:r>
      <w:rPr>
        <w:sz w:val="2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p>
    <w:pPr>
      <w:pStyle w:val="21"/>
      <w:widowControl/>
      <w:spacing w:line="380" w:lineRule="exact"/>
      <w:ind w:firstLine="0" w:firstLineChars="0"/>
      <w:jc w:val="right"/>
      <w:rPr>
        <w:rFonts w:ascii="华文楷体" w:hAnsi="华文楷体" w:eastAsia="华文楷体"/>
        <w:color w:val="C00000"/>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firstLine="0" w:firstLineChars="0"/>
      <w:jc w:val="right"/>
      <w:rPr>
        <w:rFonts w:ascii="华文楷体" w:hAnsi="华文楷体" w:eastAsia="华文楷体"/>
        <w:color w:val="C00000"/>
        <w:sz w:val="28"/>
        <w:szCs w:val="28"/>
      </w:rPr>
    </w:pPr>
    <w:r>
      <w:rPr>
        <w:sz w:val="28"/>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EPZ0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DpxD2dGQIAACMEAAAOAAAA&#10;AAAAAAEAIAAAAB8BAABkcnMvZTJvRG9jLnhtbFBLBQYAAAAABgAGAFkBAACqBQ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p>
    <w:pPr>
      <w:pStyle w:val="21"/>
      <w:widowControl/>
      <w:spacing w:line="380" w:lineRule="exact"/>
      <w:ind w:firstLine="0" w:firstLineChars="0"/>
      <w:jc w:val="right"/>
      <w:rPr>
        <w:rFonts w:ascii="华文楷体" w:hAnsi="华文楷体" w:eastAsia="华文楷体"/>
        <w:color w:val="C0000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right="280" w:firstLine="0" w:firstLineChars="0"/>
      <w:jc w:val="right"/>
      <w:rPr>
        <w:rFonts w:ascii="华文楷体" w:hAnsi="华文楷体" w:eastAsia="华文楷体"/>
        <w:color w:val="C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right="280" w:firstLine="0" w:firstLineChars="0"/>
      <w:jc w:val="right"/>
      <w:rPr>
        <w:rFonts w:ascii="华文楷体" w:hAnsi="华文楷体" w:eastAsia="华文楷体"/>
        <w:color w:val="C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right="280" w:firstLine="0" w:firstLineChars="0"/>
      <w:jc w:val="right"/>
      <w:rPr>
        <w:rFonts w:ascii="华文楷体" w:hAnsi="华文楷体" w:eastAsia="华文楷体"/>
        <w:color w:val="C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527BE4"/>
    <w:multiLevelType w:val="singleLevel"/>
    <w:tmpl w:val="C0527BE4"/>
    <w:lvl w:ilvl="0" w:tentative="0">
      <w:start w:val="1"/>
      <w:numFmt w:val="bullet"/>
      <w:lvlText w:val=""/>
      <w:lvlJc w:val="left"/>
      <w:pPr>
        <w:ind w:left="420" w:hanging="420"/>
      </w:pPr>
      <w:rPr>
        <w:rFonts w:hint="default" w:ascii="Wingdings" w:hAnsi="Wingdings"/>
      </w:rPr>
    </w:lvl>
  </w:abstractNum>
  <w:abstractNum w:abstractNumId="1">
    <w:nsid w:val="C5050962"/>
    <w:multiLevelType w:val="singleLevel"/>
    <w:tmpl w:val="C5050962"/>
    <w:lvl w:ilvl="0" w:tentative="0">
      <w:start w:val="1"/>
      <w:numFmt w:val="chineseCounting"/>
      <w:suff w:val="nothing"/>
      <w:lvlText w:val="%1、"/>
      <w:lvlJc w:val="left"/>
      <w:rPr>
        <w:rFonts w:hint="eastAsia"/>
      </w:rPr>
    </w:lvl>
  </w:abstractNum>
  <w:abstractNum w:abstractNumId="2">
    <w:nsid w:val="C99AC280"/>
    <w:multiLevelType w:val="singleLevel"/>
    <w:tmpl w:val="C99AC280"/>
    <w:lvl w:ilvl="0" w:tentative="0">
      <w:start w:val="1"/>
      <w:numFmt w:val="decimal"/>
      <w:lvlText w:val="%1."/>
      <w:lvlJc w:val="left"/>
      <w:pPr>
        <w:tabs>
          <w:tab w:val="left" w:pos="312"/>
        </w:tabs>
      </w:pPr>
    </w:lvl>
  </w:abstractNum>
  <w:abstractNum w:abstractNumId="3">
    <w:nsid w:val="4BCD13DD"/>
    <w:multiLevelType w:val="singleLevel"/>
    <w:tmpl w:val="4BCD13DD"/>
    <w:lvl w:ilvl="0" w:tentative="0">
      <w:start w:val="1"/>
      <w:numFmt w:val="decimal"/>
      <w:suff w:val="nothing"/>
      <w:lvlText w:val="%1）"/>
      <w:lvlJc w:val="left"/>
    </w:lvl>
  </w:abstractNum>
  <w:abstractNum w:abstractNumId="4">
    <w:nsid w:val="736A99D8"/>
    <w:multiLevelType w:val="singleLevel"/>
    <w:tmpl w:val="736A99D8"/>
    <w:lvl w:ilvl="0" w:tentative="0">
      <w:start w:val="1"/>
      <w:numFmt w:val="decimal"/>
      <w:suff w:val="nothing"/>
      <w:lvlText w:val="%1、"/>
      <w:lvlJc w:val="left"/>
    </w:lvl>
  </w:abstractNum>
  <w:abstractNum w:abstractNumId="5">
    <w:nsid w:val="79246F5D"/>
    <w:multiLevelType w:val="singleLevel"/>
    <w:tmpl w:val="79246F5D"/>
    <w:lvl w:ilvl="0" w:tentative="0">
      <w:start w:val="1"/>
      <w:numFmt w:val="decimal"/>
      <w:suff w:val="nothing"/>
      <w:lvlText w:val="（%1）"/>
      <w:lvlJc w:val="left"/>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nderlineTabInNumList/>
    <w:compatSetting w:name="compatibilityMode" w:uri="http://schemas.microsoft.com/office/word" w:val="12"/>
  </w:compat>
  <w:rsids>
    <w:rsidRoot w:val="00172A27"/>
    <w:rsid w:val="000401A9"/>
    <w:rsid w:val="00041C16"/>
    <w:rsid w:val="000467FA"/>
    <w:rsid w:val="00055640"/>
    <w:rsid w:val="00062F1B"/>
    <w:rsid w:val="00064556"/>
    <w:rsid w:val="00081468"/>
    <w:rsid w:val="0008433A"/>
    <w:rsid w:val="000942FC"/>
    <w:rsid w:val="000A1C89"/>
    <w:rsid w:val="000A625A"/>
    <w:rsid w:val="000B21C0"/>
    <w:rsid w:val="000D4AAD"/>
    <w:rsid w:val="000E485C"/>
    <w:rsid w:val="00107730"/>
    <w:rsid w:val="001117E1"/>
    <w:rsid w:val="001132FA"/>
    <w:rsid w:val="00113781"/>
    <w:rsid w:val="00117ABC"/>
    <w:rsid w:val="00117C0E"/>
    <w:rsid w:val="00121B57"/>
    <w:rsid w:val="00124E35"/>
    <w:rsid w:val="00140468"/>
    <w:rsid w:val="00141399"/>
    <w:rsid w:val="00151708"/>
    <w:rsid w:val="00161E7E"/>
    <w:rsid w:val="00162BFF"/>
    <w:rsid w:val="00170BD5"/>
    <w:rsid w:val="00172A27"/>
    <w:rsid w:val="001742DA"/>
    <w:rsid w:val="00175D92"/>
    <w:rsid w:val="00176E2D"/>
    <w:rsid w:val="00181784"/>
    <w:rsid w:val="001969B4"/>
    <w:rsid w:val="00197CEA"/>
    <w:rsid w:val="001F42A5"/>
    <w:rsid w:val="002013E6"/>
    <w:rsid w:val="00217078"/>
    <w:rsid w:val="00221925"/>
    <w:rsid w:val="00224078"/>
    <w:rsid w:val="002248E5"/>
    <w:rsid w:val="00232F2E"/>
    <w:rsid w:val="002424E0"/>
    <w:rsid w:val="00245AAE"/>
    <w:rsid w:val="002511EF"/>
    <w:rsid w:val="00255036"/>
    <w:rsid w:val="00274972"/>
    <w:rsid w:val="002765F7"/>
    <w:rsid w:val="00277F9C"/>
    <w:rsid w:val="002856F4"/>
    <w:rsid w:val="0029203D"/>
    <w:rsid w:val="002A13D0"/>
    <w:rsid w:val="002A4574"/>
    <w:rsid w:val="002B249F"/>
    <w:rsid w:val="002C6DDE"/>
    <w:rsid w:val="002D1AA3"/>
    <w:rsid w:val="002E6DCA"/>
    <w:rsid w:val="002F083B"/>
    <w:rsid w:val="002F1DCD"/>
    <w:rsid w:val="00300D0A"/>
    <w:rsid w:val="0030165B"/>
    <w:rsid w:val="00302911"/>
    <w:rsid w:val="0030604D"/>
    <w:rsid w:val="00326A93"/>
    <w:rsid w:val="003338FF"/>
    <w:rsid w:val="0033458A"/>
    <w:rsid w:val="00341F98"/>
    <w:rsid w:val="003473CC"/>
    <w:rsid w:val="003521B5"/>
    <w:rsid w:val="00356B94"/>
    <w:rsid w:val="0036759A"/>
    <w:rsid w:val="00371540"/>
    <w:rsid w:val="00372143"/>
    <w:rsid w:val="0037657C"/>
    <w:rsid w:val="003A06AE"/>
    <w:rsid w:val="003A0A7E"/>
    <w:rsid w:val="003A1085"/>
    <w:rsid w:val="003A2CDD"/>
    <w:rsid w:val="003A3409"/>
    <w:rsid w:val="003B1987"/>
    <w:rsid w:val="003B72F3"/>
    <w:rsid w:val="003C0C23"/>
    <w:rsid w:val="003C672C"/>
    <w:rsid w:val="003D268E"/>
    <w:rsid w:val="003D2CB4"/>
    <w:rsid w:val="003E68EB"/>
    <w:rsid w:val="003F0F37"/>
    <w:rsid w:val="003F11C5"/>
    <w:rsid w:val="003F15CB"/>
    <w:rsid w:val="003F27F3"/>
    <w:rsid w:val="0040177F"/>
    <w:rsid w:val="0040281A"/>
    <w:rsid w:val="004242EF"/>
    <w:rsid w:val="00424BDD"/>
    <w:rsid w:val="0042621A"/>
    <w:rsid w:val="00431F1D"/>
    <w:rsid w:val="004349D1"/>
    <w:rsid w:val="00436ED9"/>
    <w:rsid w:val="00440573"/>
    <w:rsid w:val="00454233"/>
    <w:rsid w:val="004548C9"/>
    <w:rsid w:val="0046133A"/>
    <w:rsid w:val="00462C2C"/>
    <w:rsid w:val="00463BA2"/>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3B7A"/>
    <w:rsid w:val="004C4165"/>
    <w:rsid w:val="004C70BF"/>
    <w:rsid w:val="004D4A5D"/>
    <w:rsid w:val="004E488E"/>
    <w:rsid w:val="004E4CE4"/>
    <w:rsid w:val="004F0EEC"/>
    <w:rsid w:val="004F48AF"/>
    <w:rsid w:val="00507C59"/>
    <w:rsid w:val="00523615"/>
    <w:rsid w:val="0053025A"/>
    <w:rsid w:val="005409FD"/>
    <w:rsid w:val="005411D6"/>
    <w:rsid w:val="0055201A"/>
    <w:rsid w:val="00555C75"/>
    <w:rsid w:val="005A004E"/>
    <w:rsid w:val="005B6C76"/>
    <w:rsid w:val="005C32B7"/>
    <w:rsid w:val="005D02AF"/>
    <w:rsid w:val="005D0666"/>
    <w:rsid w:val="005D5183"/>
    <w:rsid w:val="005D5D6A"/>
    <w:rsid w:val="005F6BB9"/>
    <w:rsid w:val="00610860"/>
    <w:rsid w:val="0066292F"/>
    <w:rsid w:val="00663467"/>
    <w:rsid w:val="00667836"/>
    <w:rsid w:val="006740C2"/>
    <w:rsid w:val="006839E8"/>
    <w:rsid w:val="00683AB5"/>
    <w:rsid w:val="00695F31"/>
    <w:rsid w:val="006977E5"/>
    <w:rsid w:val="006A12AC"/>
    <w:rsid w:val="006A22C5"/>
    <w:rsid w:val="006A2C9C"/>
    <w:rsid w:val="006A7041"/>
    <w:rsid w:val="006B0F76"/>
    <w:rsid w:val="006B3BF8"/>
    <w:rsid w:val="006B4772"/>
    <w:rsid w:val="006C3BC0"/>
    <w:rsid w:val="006D400C"/>
    <w:rsid w:val="006D49E6"/>
    <w:rsid w:val="006E11DD"/>
    <w:rsid w:val="006E1287"/>
    <w:rsid w:val="006E53BB"/>
    <w:rsid w:val="006F1426"/>
    <w:rsid w:val="00702A90"/>
    <w:rsid w:val="00703E14"/>
    <w:rsid w:val="00706D1B"/>
    <w:rsid w:val="00711702"/>
    <w:rsid w:val="00713A46"/>
    <w:rsid w:val="007157B3"/>
    <w:rsid w:val="00716BD5"/>
    <w:rsid w:val="0073567C"/>
    <w:rsid w:val="00744274"/>
    <w:rsid w:val="00747E2E"/>
    <w:rsid w:val="00751053"/>
    <w:rsid w:val="007545D0"/>
    <w:rsid w:val="00755B5E"/>
    <w:rsid w:val="00757823"/>
    <w:rsid w:val="00766948"/>
    <w:rsid w:val="00773CD4"/>
    <w:rsid w:val="00773D40"/>
    <w:rsid w:val="007746F8"/>
    <w:rsid w:val="00794CB4"/>
    <w:rsid w:val="007978E6"/>
    <w:rsid w:val="007A11BB"/>
    <w:rsid w:val="007B5152"/>
    <w:rsid w:val="007C6C14"/>
    <w:rsid w:val="007D53F4"/>
    <w:rsid w:val="007D5478"/>
    <w:rsid w:val="007E53AE"/>
    <w:rsid w:val="007E6823"/>
    <w:rsid w:val="007F4AB9"/>
    <w:rsid w:val="00800AC2"/>
    <w:rsid w:val="00821803"/>
    <w:rsid w:val="00830402"/>
    <w:rsid w:val="00833A79"/>
    <w:rsid w:val="008415DB"/>
    <w:rsid w:val="00841C71"/>
    <w:rsid w:val="0086674C"/>
    <w:rsid w:val="00874E33"/>
    <w:rsid w:val="00877669"/>
    <w:rsid w:val="00886060"/>
    <w:rsid w:val="00892F94"/>
    <w:rsid w:val="00894A3E"/>
    <w:rsid w:val="008A0DC6"/>
    <w:rsid w:val="008A4CE7"/>
    <w:rsid w:val="008A58F9"/>
    <w:rsid w:val="008C0D11"/>
    <w:rsid w:val="008C2191"/>
    <w:rsid w:val="008E3372"/>
    <w:rsid w:val="00926992"/>
    <w:rsid w:val="00936628"/>
    <w:rsid w:val="00940BF6"/>
    <w:rsid w:val="00945290"/>
    <w:rsid w:val="009501DE"/>
    <w:rsid w:val="009574CA"/>
    <w:rsid w:val="00957ED0"/>
    <w:rsid w:val="00965C56"/>
    <w:rsid w:val="0097772A"/>
    <w:rsid w:val="00980D8A"/>
    <w:rsid w:val="00990F53"/>
    <w:rsid w:val="00991C0A"/>
    <w:rsid w:val="00993D92"/>
    <w:rsid w:val="009961FD"/>
    <w:rsid w:val="009A2BF7"/>
    <w:rsid w:val="009D3F35"/>
    <w:rsid w:val="009E15D4"/>
    <w:rsid w:val="009E3FEA"/>
    <w:rsid w:val="009E7468"/>
    <w:rsid w:val="009F7FE9"/>
    <w:rsid w:val="00A054B7"/>
    <w:rsid w:val="00A22F32"/>
    <w:rsid w:val="00A23C80"/>
    <w:rsid w:val="00A43F22"/>
    <w:rsid w:val="00A4524B"/>
    <w:rsid w:val="00A7184A"/>
    <w:rsid w:val="00A7221A"/>
    <w:rsid w:val="00A75FBA"/>
    <w:rsid w:val="00A840BA"/>
    <w:rsid w:val="00A856B9"/>
    <w:rsid w:val="00A9141B"/>
    <w:rsid w:val="00A9577D"/>
    <w:rsid w:val="00A969C6"/>
    <w:rsid w:val="00AC5DC4"/>
    <w:rsid w:val="00AC73DE"/>
    <w:rsid w:val="00AD6009"/>
    <w:rsid w:val="00AE699F"/>
    <w:rsid w:val="00AE7853"/>
    <w:rsid w:val="00AF4305"/>
    <w:rsid w:val="00B04884"/>
    <w:rsid w:val="00B06161"/>
    <w:rsid w:val="00B06292"/>
    <w:rsid w:val="00B11408"/>
    <w:rsid w:val="00B123F4"/>
    <w:rsid w:val="00B13476"/>
    <w:rsid w:val="00B1625A"/>
    <w:rsid w:val="00B36B7F"/>
    <w:rsid w:val="00B516FE"/>
    <w:rsid w:val="00B677AA"/>
    <w:rsid w:val="00B81DB1"/>
    <w:rsid w:val="00B83719"/>
    <w:rsid w:val="00B862F2"/>
    <w:rsid w:val="00B9214A"/>
    <w:rsid w:val="00B96E85"/>
    <w:rsid w:val="00BA15F3"/>
    <w:rsid w:val="00BA1792"/>
    <w:rsid w:val="00BB4525"/>
    <w:rsid w:val="00BB68D9"/>
    <w:rsid w:val="00BC09CF"/>
    <w:rsid w:val="00BC4667"/>
    <w:rsid w:val="00BC6AE3"/>
    <w:rsid w:val="00BD0B48"/>
    <w:rsid w:val="00BF4EB0"/>
    <w:rsid w:val="00BF6169"/>
    <w:rsid w:val="00C022E1"/>
    <w:rsid w:val="00C11D3A"/>
    <w:rsid w:val="00C13D1C"/>
    <w:rsid w:val="00C16DFB"/>
    <w:rsid w:val="00C52952"/>
    <w:rsid w:val="00C60DC9"/>
    <w:rsid w:val="00C8340A"/>
    <w:rsid w:val="00C90A54"/>
    <w:rsid w:val="00C974BE"/>
    <w:rsid w:val="00CB52F6"/>
    <w:rsid w:val="00CB64AC"/>
    <w:rsid w:val="00CB75CF"/>
    <w:rsid w:val="00CC7872"/>
    <w:rsid w:val="00CE1FF8"/>
    <w:rsid w:val="00CE7036"/>
    <w:rsid w:val="00D04AA2"/>
    <w:rsid w:val="00D059BB"/>
    <w:rsid w:val="00D07920"/>
    <w:rsid w:val="00D206F0"/>
    <w:rsid w:val="00D21252"/>
    <w:rsid w:val="00D34232"/>
    <w:rsid w:val="00D36B70"/>
    <w:rsid w:val="00D50226"/>
    <w:rsid w:val="00D523F9"/>
    <w:rsid w:val="00D62102"/>
    <w:rsid w:val="00D7547B"/>
    <w:rsid w:val="00D77B3F"/>
    <w:rsid w:val="00D9139C"/>
    <w:rsid w:val="00DB4903"/>
    <w:rsid w:val="00DC051A"/>
    <w:rsid w:val="00DD3C4D"/>
    <w:rsid w:val="00DE01D3"/>
    <w:rsid w:val="00DE0DD2"/>
    <w:rsid w:val="00E11A72"/>
    <w:rsid w:val="00E273C6"/>
    <w:rsid w:val="00E54A7A"/>
    <w:rsid w:val="00E73845"/>
    <w:rsid w:val="00E9072A"/>
    <w:rsid w:val="00E94F41"/>
    <w:rsid w:val="00E9687A"/>
    <w:rsid w:val="00E97266"/>
    <w:rsid w:val="00EA70AB"/>
    <w:rsid w:val="00EA7637"/>
    <w:rsid w:val="00EA77ED"/>
    <w:rsid w:val="00EB341A"/>
    <w:rsid w:val="00EC1CF2"/>
    <w:rsid w:val="00EC51AF"/>
    <w:rsid w:val="00EC7AC9"/>
    <w:rsid w:val="00ED3646"/>
    <w:rsid w:val="00EF2090"/>
    <w:rsid w:val="00EF6DF7"/>
    <w:rsid w:val="00F25282"/>
    <w:rsid w:val="00F32C20"/>
    <w:rsid w:val="00F33518"/>
    <w:rsid w:val="00F43C20"/>
    <w:rsid w:val="00F46F25"/>
    <w:rsid w:val="00F55E59"/>
    <w:rsid w:val="00F66E38"/>
    <w:rsid w:val="00F715FB"/>
    <w:rsid w:val="00F824A4"/>
    <w:rsid w:val="00F83424"/>
    <w:rsid w:val="00F95B6D"/>
    <w:rsid w:val="00FC3EFE"/>
    <w:rsid w:val="00FD61C7"/>
    <w:rsid w:val="00FE1672"/>
    <w:rsid w:val="00FF52A2"/>
    <w:rsid w:val="01CF1260"/>
    <w:rsid w:val="033871B1"/>
    <w:rsid w:val="042A3783"/>
    <w:rsid w:val="045508E6"/>
    <w:rsid w:val="04D25428"/>
    <w:rsid w:val="04F60FB1"/>
    <w:rsid w:val="05462AD6"/>
    <w:rsid w:val="05A16E41"/>
    <w:rsid w:val="05A36618"/>
    <w:rsid w:val="063B1515"/>
    <w:rsid w:val="064E079F"/>
    <w:rsid w:val="06E775E0"/>
    <w:rsid w:val="08790549"/>
    <w:rsid w:val="08F214AD"/>
    <w:rsid w:val="09197BC9"/>
    <w:rsid w:val="09320E0F"/>
    <w:rsid w:val="093916FF"/>
    <w:rsid w:val="09950EB3"/>
    <w:rsid w:val="09DD0985"/>
    <w:rsid w:val="0A0F64A5"/>
    <w:rsid w:val="0AA9047A"/>
    <w:rsid w:val="0AC165B2"/>
    <w:rsid w:val="0AC3001E"/>
    <w:rsid w:val="0C053D67"/>
    <w:rsid w:val="0CEB5B5D"/>
    <w:rsid w:val="0D547952"/>
    <w:rsid w:val="0DAB2E46"/>
    <w:rsid w:val="0DBD7FED"/>
    <w:rsid w:val="0DD72CE2"/>
    <w:rsid w:val="0E814C00"/>
    <w:rsid w:val="0E943A1F"/>
    <w:rsid w:val="0F055535"/>
    <w:rsid w:val="0F063AA2"/>
    <w:rsid w:val="0F232365"/>
    <w:rsid w:val="0FA23DD2"/>
    <w:rsid w:val="0FDE59C9"/>
    <w:rsid w:val="11C84D6A"/>
    <w:rsid w:val="126371F7"/>
    <w:rsid w:val="12ED59D0"/>
    <w:rsid w:val="13451068"/>
    <w:rsid w:val="13EC334C"/>
    <w:rsid w:val="14053EF5"/>
    <w:rsid w:val="14E4710E"/>
    <w:rsid w:val="15083691"/>
    <w:rsid w:val="15F420CA"/>
    <w:rsid w:val="16F86864"/>
    <w:rsid w:val="17A30ED0"/>
    <w:rsid w:val="181D7E10"/>
    <w:rsid w:val="1A4125A5"/>
    <w:rsid w:val="1A5417CA"/>
    <w:rsid w:val="1AD53EA2"/>
    <w:rsid w:val="1B2E0F3F"/>
    <w:rsid w:val="1B5B6F52"/>
    <w:rsid w:val="1BF50861"/>
    <w:rsid w:val="1C1A7259"/>
    <w:rsid w:val="1CA951B7"/>
    <w:rsid w:val="1D9B6079"/>
    <w:rsid w:val="1E305FCD"/>
    <w:rsid w:val="1E510C5F"/>
    <w:rsid w:val="1E6653A2"/>
    <w:rsid w:val="1F5C0063"/>
    <w:rsid w:val="1FDA481E"/>
    <w:rsid w:val="208B4685"/>
    <w:rsid w:val="210B1324"/>
    <w:rsid w:val="213353EE"/>
    <w:rsid w:val="21B35D17"/>
    <w:rsid w:val="229855C6"/>
    <w:rsid w:val="240B310A"/>
    <w:rsid w:val="24865DEC"/>
    <w:rsid w:val="24A8636A"/>
    <w:rsid w:val="24D523C2"/>
    <w:rsid w:val="259464B7"/>
    <w:rsid w:val="25C50247"/>
    <w:rsid w:val="25C90F2B"/>
    <w:rsid w:val="26010AA8"/>
    <w:rsid w:val="265B063E"/>
    <w:rsid w:val="26F87573"/>
    <w:rsid w:val="2737052A"/>
    <w:rsid w:val="27840BBE"/>
    <w:rsid w:val="27877E66"/>
    <w:rsid w:val="27D92390"/>
    <w:rsid w:val="29FA4685"/>
    <w:rsid w:val="2A0C49B1"/>
    <w:rsid w:val="2BAC64A9"/>
    <w:rsid w:val="2C7D41C1"/>
    <w:rsid w:val="2CCD063D"/>
    <w:rsid w:val="2CF8098A"/>
    <w:rsid w:val="2FDC5DE8"/>
    <w:rsid w:val="30782806"/>
    <w:rsid w:val="30F32899"/>
    <w:rsid w:val="312425C0"/>
    <w:rsid w:val="315D35B5"/>
    <w:rsid w:val="31FD1F32"/>
    <w:rsid w:val="32307B09"/>
    <w:rsid w:val="325E69F7"/>
    <w:rsid w:val="328D6E8E"/>
    <w:rsid w:val="32AE6AD1"/>
    <w:rsid w:val="32C52F33"/>
    <w:rsid w:val="35395F12"/>
    <w:rsid w:val="35882629"/>
    <w:rsid w:val="35BC3DBF"/>
    <w:rsid w:val="35C76DF6"/>
    <w:rsid w:val="366636E4"/>
    <w:rsid w:val="380700D7"/>
    <w:rsid w:val="386D531A"/>
    <w:rsid w:val="39ED336B"/>
    <w:rsid w:val="3A1E13F4"/>
    <w:rsid w:val="3A847885"/>
    <w:rsid w:val="3B611CB1"/>
    <w:rsid w:val="3B7911D8"/>
    <w:rsid w:val="3B7C4A5D"/>
    <w:rsid w:val="3BA9406B"/>
    <w:rsid w:val="3E7E3CFE"/>
    <w:rsid w:val="3F467C25"/>
    <w:rsid w:val="3F940279"/>
    <w:rsid w:val="40BC1313"/>
    <w:rsid w:val="41F65418"/>
    <w:rsid w:val="427B7983"/>
    <w:rsid w:val="431B6666"/>
    <w:rsid w:val="45167D94"/>
    <w:rsid w:val="46574AE3"/>
    <w:rsid w:val="47A57383"/>
    <w:rsid w:val="47F70294"/>
    <w:rsid w:val="483E1E3C"/>
    <w:rsid w:val="495C7941"/>
    <w:rsid w:val="4A091649"/>
    <w:rsid w:val="4A7330AC"/>
    <w:rsid w:val="4B193A37"/>
    <w:rsid w:val="4C4D096B"/>
    <w:rsid w:val="4E5A3E2F"/>
    <w:rsid w:val="4F4359AA"/>
    <w:rsid w:val="51D31E79"/>
    <w:rsid w:val="51E27DDE"/>
    <w:rsid w:val="530165D9"/>
    <w:rsid w:val="54584C37"/>
    <w:rsid w:val="54AE60D5"/>
    <w:rsid w:val="54E30D52"/>
    <w:rsid w:val="552B2366"/>
    <w:rsid w:val="558856CC"/>
    <w:rsid w:val="558E2B3D"/>
    <w:rsid w:val="55C32D4E"/>
    <w:rsid w:val="561B3B8F"/>
    <w:rsid w:val="561D42C5"/>
    <w:rsid w:val="56305A73"/>
    <w:rsid w:val="563A3385"/>
    <w:rsid w:val="58464CE2"/>
    <w:rsid w:val="58BA6B24"/>
    <w:rsid w:val="58FF440F"/>
    <w:rsid w:val="598B0467"/>
    <w:rsid w:val="59E72F97"/>
    <w:rsid w:val="5A4467FA"/>
    <w:rsid w:val="5ADA1F64"/>
    <w:rsid w:val="5B0E29AB"/>
    <w:rsid w:val="5B46189E"/>
    <w:rsid w:val="5CE86AB0"/>
    <w:rsid w:val="5D0B22AD"/>
    <w:rsid w:val="5D2C51D1"/>
    <w:rsid w:val="5D2C7E3A"/>
    <w:rsid w:val="5D861CDE"/>
    <w:rsid w:val="5EEE5EA8"/>
    <w:rsid w:val="5F7F2A4A"/>
    <w:rsid w:val="5FB00DEB"/>
    <w:rsid w:val="5FEE006D"/>
    <w:rsid w:val="612D5AB9"/>
    <w:rsid w:val="61DC6768"/>
    <w:rsid w:val="620B13F0"/>
    <w:rsid w:val="621C2B0C"/>
    <w:rsid w:val="6257263F"/>
    <w:rsid w:val="636C1F22"/>
    <w:rsid w:val="637D568A"/>
    <w:rsid w:val="63AF3714"/>
    <w:rsid w:val="64B22FC1"/>
    <w:rsid w:val="64CF66AA"/>
    <w:rsid w:val="66086AF4"/>
    <w:rsid w:val="66294417"/>
    <w:rsid w:val="665B325F"/>
    <w:rsid w:val="669C5F53"/>
    <w:rsid w:val="67EE4DBD"/>
    <w:rsid w:val="689625A7"/>
    <w:rsid w:val="6923018B"/>
    <w:rsid w:val="69BD5665"/>
    <w:rsid w:val="69EB4119"/>
    <w:rsid w:val="6A4C6A83"/>
    <w:rsid w:val="6A840F3B"/>
    <w:rsid w:val="6B3C50E8"/>
    <w:rsid w:val="6CBE5344"/>
    <w:rsid w:val="6CEB41CA"/>
    <w:rsid w:val="6CF516E9"/>
    <w:rsid w:val="6D3E385B"/>
    <w:rsid w:val="6D99638A"/>
    <w:rsid w:val="6DAA1D1B"/>
    <w:rsid w:val="6E2A3D7F"/>
    <w:rsid w:val="6F292E34"/>
    <w:rsid w:val="6F45765C"/>
    <w:rsid w:val="713A6F49"/>
    <w:rsid w:val="715828CD"/>
    <w:rsid w:val="71A40885"/>
    <w:rsid w:val="71C40E6B"/>
    <w:rsid w:val="732F62C7"/>
    <w:rsid w:val="733959AB"/>
    <w:rsid w:val="733C5B0C"/>
    <w:rsid w:val="749E24BF"/>
    <w:rsid w:val="74E96391"/>
    <w:rsid w:val="75E36D7A"/>
    <w:rsid w:val="760A2F63"/>
    <w:rsid w:val="763B6C53"/>
    <w:rsid w:val="763C6E22"/>
    <w:rsid w:val="77875C70"/>
    <w:rsid w:val="77893914"/>
    <w:rsid w:val="78471A61"/>
    <w:rsid w:val="797B32F0"/>
    <w:rsid w:val="79802B72"/>
    <w:rsid w:val="7ADA057F"/>
    <w:rsid w:val="7BD90A74"/>
    <w:rsid w:val="7C5977F3"/>
    <w:rsid w:val="7CE3796D"/>
    <w:rsid w:val="7E487F0D"/>
    <w:rsid w:val="7E8341CC"/>
    <w:rsid w:val="7E991B2D"/>
    <w:rsid w:val="7FA424A6"/>
    <w:rsid w:val="7FCE202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3"/>
    <w:qFormat/>
    <w:uiPriority w:val="99"/>
    <w:rPr>
      <w:sz w:val="18"/>
      <w:szCs w:val="18"/>
    </w:r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1">
    <w:name w:val="Strong"/>
    <w:qFormat/>
    <w:uiPriority w:val="99"/>
    <w:rPr>
      <w:rFonts w:cs="Times New Roman"/>
      <w:b/>
      <w:bCs/>
    </w:rPr>
  </w:style>
  <w:style w:type="character" w:styleId="12">
    <w:name w:val="Hyperlink"/>
    <w:qFormat/>
    <w:uiPriority w:val="99"/>
    <w:rPr>
      <w:rFonts w:cs="Times New Roman"/>
      <w:color w:val="404040"/>
      <w:u w:val="none"/>
    </w:rPr>
  </w:style>
  <w:style w:type="character" w:customStyle="1" w:styleId="13">
    <w:name w:val="标题 1 Char"/>
    <w:link w:val="2"/>
    <w:qFormat/>
    <w:locked/>
    <w:uiPriority w:val="99"/>
    <w:rPr>
      <w:rFonts w:cs="Times New Roman"/>
      <w:b/>
      <w:bCs/>
      <w:kern w:val="44"/>
      <w:sz w:val="44"/>
      <w:szCs w:val="44"/>
    </w:rPr>
  </w:style>
  <w:style w:type="character" w:customStyle="1" w:styleId="14">
    <w:name w:val="Header Char"/>
    <w:qFormat/>
    <w:locked/>
    <w:uiPriority w:val="99"/>
    <w:rPr>
      <w:rFonts w:eastAsia="宋体"/>
      <w:kern w:val="2"/>
      <w:sz w:val="18"/>
      <w:lang w:val="en-US" w:eastAsia="zh-CN"/>
    </w:rPr>
  </w:style>
  <w:style w:type="character" w:customStyle="1" w:styleId="15">
    <w:name w:val="apple-converted-space"/>
    <w:qFormat/>
    <w:uiPriority w:val="99"/>
    <w:rPr>
      <w:rFonts w:cs="Times New Roman"/>
    </w:rPr>
  </w:style>
  <w:style w:type="paragraph" w:customStyle="1" w:styleId="16">
    <w:name w:val="列出段落1"/>
    <w:basedOn w:val="1"/>
    <w:qFormat/>
    <w:uiPriority w:val="99"/>
    <w:pPr>
      <w:ind w:firstLine="420" w:firstLineChars="200"/>
    </w:pPr>
  </w:style>
  <w:style w:type="character" w:customStyle="1" w:styleId="17">
    <w:name w:val="页脚 Char"/>
    <w:link w:val="4"/>
    <w:semiHidden/>
    <w:qFormat/>
    <w:locked/>
    <w:uiPriority w:val="99"/>
    <w:rPr>
      <w:rFonts w:cs="Times New Roman"/>
      <w:sz w:val="18"/>
      <w:szCs w:val="18"/>
    </w:rPr>
  </w:style>
  <w:style w:type="character" w:customStyle="1" w:styleId="18">
    <w:name w:val="页眉 Char"/>
    <w:link w:val="5"/>
    <w:semiHidden/>
    <w:qFormat/>
    <w:locked/>
    <w:uiPriority w:val="99"/>
    <w:rPr>
      <w:rFonts w:cs="Times New Roman"/>
      <w:sz w:val="18"/>
      <w:szCs w:val="18"/>
    </w:rPr>
  </w:style>
  <w:style w:type="paragraph" w:customStyle="1" w:styleId="19">
    <w:name w:val="reader-word-layer reader-word-s2-2"/>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
    <w:name w:val="普通(网站)1"/>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
    <w:name w:val="列出段落2"/>
    <w:basedOn w:val="1"/>
    <w:qFormat/>
    <w:uiPriority w:val="99"/>
    <w:pPr>
      <w:ind w:firstLine="420" w:firstLineChars="200"/>
    </w:pPr>
  </w:style>
  <w:style w:type="paragraph" w:customStyle="1" w:styleId="22">
    <w:name w:val="普通(网站)2"/>
    <w:basedOn w:val="1"/>
    <w:qFormat/>
    <w:uiPriority w:val="99"/>
    <w:pPr>
      <w:widowControl/>
      <w:spacing w:before="100" w:beforeAutospacing="1" w:after="100" w:afterAutospacing="1"/>
      <w:jc w:val="left"/>
    </w:pPr>
    <w:rPr>
      <w:rFonts w:ascii="宋体" w:hAnsi="宋体" w:cs="宋体"/>
      <w:kern w:val="0"/>
      <w:sz w:val="24"/>
    </w:rPr>
  </w:style>
  <w:style w:type="character" w:customStyle="1" w:styleId="23">
    <w:name w:val="批注框文本 Char"/>
    <w:link w:val="3"/>
    <w:qFormat/>
    <w:locked/>
    <w:uiPriority w:val="99"/>
    <w:rPr>
      <w:rFonts w:cs="Times New Roman"/>
      <w:kern w:val="2"/>
      <w:sz w:val="18"/>
      <w:szCs w:val="18"/>
    </w:rPr>
  </w:style>
  <w:style w:type="paragraph" w:styleId="24">
    <w:name w:val="List Paragraph"/>
    <w:basedOn w:val="1"/>
    <w:unhideWhenUsed/>
    <w:qFormat/>
    <w:uiPriority w:val="99"/>
    <w:pPr>
      <w:widowControl/>
      <w:ind w:firstLine="420" w:firstLineChars="200"/>
      <w:jc w:val="left"/>
    </w:pPr>
    <w:rPr>
      <w:rFonts w:ascii="Calibri" w:hAnsi="Calibri"/>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388</Words>
  <Characters>2213</Characters>
  <Lines>18</Lines>
  <Paragraphs>5</Paragraphs>
  <TotalTime>4</TotalTime>
  <ScaleCrop>false</ScaleCrop>
  <LinksUpToDate>false</LinksUpToDate>
  <CharactersWithSpaces>2596</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2019-02-27T04:01:00Z</dcterms:created>
  <dc:creator>Administrator</dc:creator>
  <cp:lastModifiedBy>海风袭人</cp:lastModifiedBy>
  <cp:lastPrinted>2019-02-27T04:00:00Z</cp:lastPrinted>
  <dcterms:modified xsi:type="dcterms:W3CDTF">2019-05-29T07:59:16Z</dcterms:modified>
  <dc:title>重质量  铸诚信  担责任</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