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4" w:type="dxa"/>
        <w:jc w:val="center"/>
        <w:tblLayout w:type="fixed"/>
        <w:tblCellMar>
          <w:top w:w="0" w:type="dxa"/>
          <w:left w:w="0" w:type="dxa"/>
          <w:bottom w:w="0" w:type="dxa"/>
          <w:right w:w="0" w:type="dxa"/>
        </w:tblCellMar>
      </w:tblPr>
      <w:tblGrid>
        <w:gridCol w:w="4413"/>
        <w:gridCol w:w="1770"/>
        <w:gridCol w:w="2341"/>
        <w:gridCol w:w="320"/>
      </w:tblGrid>
      <w:tr>
        <w:tblPrEx>
          <w:tblCellMar>
            <w:top w:w="0" w:type="dxa"/>
            <w:left w:w="0" w:type="dxa"/>
            <w:bottom w:w="0" w:type="dxa"/>
            <w:right w:w="0" w:type="dxa"/>
          </w:tblCellMar>
        </w:tblPrEx>
        <w:trPr>
          <w:trHeight w:val="114" w:hRule="atLeast"/>
          <w:jc w:val="center"/>
        </w:trPr>
        <w:tc>
          <w:tcPr>
            <w:tcW w:w="4413" w:type="dxa"/>
            <w:vAlign w:val="bottom"/>
          </w:tcPr>
          <w:p>
            <w:pPr>
              <w:snapToGrid w:val="0"/>
              <w:ind w:right="-2906" w:rightChars="-1384"/>
              <w:rPr>
                <w:color w:val="FF0000"/>
              </w:rPr>
            </w:pPr>
          </w:p>
        </w:tc>
        <w:tc>
          <w:tcPr>
            <w:tcW w:w="1770" w:type="dxa"/>
          </w:tcPr>
          <w:p>
            <w:pPr>
              <w:tabs>
                <w:tab w:val="left" w:pos="6239"/>
              </w:tabs>
              <w:ind w:left="210" w:leftChars="100"/>
              <w:jc w:val="right"/>
              <w:rPr>
                <w:color w:val="FF0000"/>
              </w:rPr>
            </w:pPr>
          </w:p>
        </w:tc>
        <w:tc>
          <w:tcPr>
            <w:tcW w:w="2341" w:type="dxa"/>
            <w:vAlign w:val="bottom"/>
          </w:tcPr>
          <w:p>
            <w:pPr>
              <w:wordWrap w:val="0"/>
              <w:jc w:val="right"/>
              <w:rPr>
                <w:rFonts w:ascii="楷体_GB2312" w:eastAsia="楷体_GB2312"/>
                <w:color w:val="FF0000"/>
              </w:rPr>
            </w:pPr>
          </w:p>
        </w:tc>
        <w:tc>
          <w:tcPr>
            <w:tcW w:w="320" w:type="dxa"/>
            <w:vAlign w:val="bottom"/>
          </w:tcPr>
          <w:p>
            <w:pPr>
              <w:wordWrap w:val="0"/>
              <w:rPr>
                <w:rFonts w:ascii="楷体_GB2312" w:eastAsia="楷体_GB2312"/>
                <w:color w:val="FF0000"/>
              </w:rPr>
            </w:pPr>
            <w:r>
              <w:rPr>
                <w:rFonts w:hint="eastAsia" w:ascii="楷体_GB2312" w:eastAsia="楷体_GB2312"/>
                <w:color w:val="FF0000"/>
              </w:rPr>
              <w:t>　</w:t>
            </w:r>
          </w:p>
        </w:tc>
      </w:tr>
    </w:tbl>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关于举办检测机构和企业实验室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z w:val="36"/>
          <w:szCs w:val="36"/>
        </w:rPr>
        <w:t>线上培训班的通知</w:t>
      </w:r>
    </w:p>
    <w:p>
      <w:pPr>
        <w:keepNext w:val="0"/>
        <w:keepLines w:val="0"/>
        <w:pageBreakBefore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各检测机构和企业实验室：</w:t>
      </w:r>
    </w:p>
    <w:p>
      <w:pPr>
        <w:keepNext w:val="0"/>
        <w:keepLines w:val="0"/>
        <w:pageBreakBefore w:val="0"/>
        <w:widowControl/>
        <w:kinsoku/>
        <w:wordWrap/>
        <w:overflowPunct/>
        <w:topLinePunct w:val="0"/>
        <w:autoSpaceDE/>
        <w:autoSpaceDN/>
        <w:bidi w:val="0"/>
        <w:adjustRightInd/>
        <w:snapToGrid/>
        <w:spacing w:line="560" w:lineRule="exact"/>
        <w:ind w:firstLine="506" w:firstLineChars="18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疫情防控期间，为降低聚集接触风险，进一步服务好检测行业和企业实验室，提升检测机构和企业实验室的生产能力，湖北省建筑科学研究设计院股份有限公司培训中心将继续从2021年2月开始，利用移动互联网技术，在线教育平台，多元化的服务产品。通过录播、直播授课等形式，举办检测和实操系列培训班，热忱地欢迎各检测机构和企业实验室同仁参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一、培训课程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检测机构和企业实验室线上培训课程分为技术方法类、质量管理类，培训课级别分为初级班、中级和高级班，具体培训内容如下表：</w:t>
      </w:r>
    </w:p>
    <w:tbl>
      <w:tblPr>
        <w:tblStyle w:val="6"/>
        <w:tblpPr w:leftFromText="180" w:rightFromText="180" w:vertAnchor="text" w:horzAnchor="page" w:tblpXSpec="center" w:tblpY="135"/>
        <w:tblOverlap w:val="never"/>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29"/>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color w:val="000000" w:themeColor="text1"/>
                <w:sz w:val="24"/>
              </w:rPr>
            </w:pPr>
            <w:r>
              <w:rPr>
                <w:rFonts w:hint="eastAsia" w:ascii="仿宋" w:hAnsi="仿宋" w:eastAsia="仿宋" w:cs="仿宋"/>
                <w:b/>
                <w:bCs w:val="0"/>
                <w:color w:val="000000" w:themeColor="text1"/>
                <w:sz w:val="24"/>
              </w:rPr>
              <w:t>类型</w:t>
            </w: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color w:val="000000" w:themeColor="text1"/>
                <w:sz w:val="24"/>
              </w:rPr>
            </w:pPr>
            <w:r>
              <w:rPr>
                <w:rFonts w:hint="eastAsia" w:ascii="仿宋" w:hAnsi="仿宋" w:eastAsia="仿宋" w:cs="仿宋"/>
                <w:b/>
                <w:bCs w:val="0"/>
                <w:color w:val="000000" w:themeColor="text1"/>
                <w:sz w:val="24"/>
              </w:rPr>
              <w:t>班次</w:t>
            </w:r>
          </w:p>
        </w:tc>
        <w:tc>
          <w:tcPr>
            <w:tcW w:w="5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color w:val="000000" w:themeColor="text1"/>
                <w:sz w:val="24"/>
              </w:rPr>
            </w:pPr>
            <w:r>
              <w:rPr>
                <w:rFonts w:hint="eastAsia" w:ascii="仿宋" w:hAnsi="仿宋" w:eastAsia="仿宋" w:cs="仿宋"/>
                <w:b/>
                <w:bCs w:val="0"/>
                <w:color w:val="000000" w:themeColor="text1"/>
                <w:sz w:val="24"/>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技术方法类</w:t>
            </w: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检测和实验人员（地基基础、主体结构、设备安装、建筑节能、建筑幕墙、室内环境、见证取样、建筑材料、装饰装修）培训班</w:t>
            </w:r>
          </w:p>
        </w:tc>
        <w:tc>
          <w:tcPr>
            <w:tcW w:w="5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4"/>
              </w:rPr>
            </w:pPr>
            <w:r>
              <w:rPr>
                <w:rFonts w:hint="eastAsia" w:ascii="仿宋" w:hAnsi="仿宋" w:eastAsia="仿宋" w:cs="仿宋"/>
                <w:color w:val="000000"/>
                <w:kern w:val="0"/>
                <w:sz w:val="24"/>
              </w:rPr>
              <w:t>1.</w:t>
            </w:r>
            <w:r>
              <w:rPr>
                <w:rFonts w:hint="eastAsia" w:ascii="仿宋" w:hAnsi="仿宋" w:eastAsia="仿宋" w:cs="仿宋"/>
                <w:color w:val="000000" w:themeColor="text1"/>
                <w:sz w:val="24"/>
              </w:rPr>
              <w:t>样品识别</w:t>
            </w:r>
            <w:r>
              <w:rPr>
                <w:rFonts w:hint="eastAsia" w:ascii="仿宋" w:hAnsi="仿宋" w:eastAsia="仿宋" w:cs="仿宋"/>
                <w:color w:val="000000"/>
                <w:kern w:val="0"/>
                <w:sz w:val="24"/>
              </w:rPr>
              <w:t>；2.样品制备；3.</w:t>
            </w:r>
            <w:r>
              <w:rPr>
                <w:rFonts w:hint="eastAsia" w:ascii="仿宋" w:hAnsi="仿宋" w:eastAsia="仿宋" w:cs="仿宋"/>
                <w:color w:val="000000" w:themeColor="text1"/>
                <w:sz w:val="24"/>
              </w:rPr>
              <w:t>设备确认；4.标准引用；5.</w:t>
            </w:r>
            <w:r>
              <w:rPr>
                <w:rFonts w:hint="eastAsia" w:ascii="仿宋" w:hAnsi="仿宋" w:eastAsia="仿宋" w:cs="仿宋"/>
                <w:color w:val="000000"/>
                <w:kern w:val="0"/>
                <w:sz w:val="24"/>
              </w:rPr>
              <w:t>专业检测技术；6.实验实操；7.编写检测报告</w:t>
            </w:r>
            <w:r>
              <w:rPr>
                <w:rFonts w:hint="eastAsia" w:ascii="仿宋" w:hAnsi="仿宋" w:eastAsia="仿宋" w:cs="仿宋"/>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质量管理类</w:t>
            </w: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安全管理员培训班</w:t>
            </w:r>
          </w:p>
        </w:tc>
        <w:tc>
          <w:tcPr>
            <w:tcW w:w="5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1.消防安全管理与应急管理，实验室基本操作与安全防护；2.实验室安全事故介绍与案例分析；3.易制毒、易制爆化学品安全管理，实验室应急管理，实验室废弃物处理。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文档管理员培训班</w:t>
            </w:r>
          </w:p>
        </w:tc>
        <w:tc>
          <w:tcPr>
            <w:tcW w:w="5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1.文书写作与档案管理；2.会务礼仪；3.迎审与沟通协调。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质量管理员（质量监督员、报告审核员、授权签字人）培训班</w:t>
            </w:r>
          </w:p>
        </w:tc>
        <w:tc>
          <w:tcPr>
            <w:tcW w:w="5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4"/>
              </w:rPr>
            </w:pPr>
            <w:r>
              <w:rPr>
                <w:rFonts w:hint="eastAsia" w:ascii="仿宋" w:hAnsi="仿宋" w:eastAsia="仿宋" w:cs="仿宋"/>
                <w:color w:val="000000"/>
                <w:kern w:val="0"/>
                <w:sz w:val="24"/>
              </w:rPr>
              <w:t>1.《检验检测机构资质认定能力评价 检验检测机构通用要求》（RB/T214-2017）解读；2.质量监督员、质量（技术）负责人的岗位职责和权利，应具备的管理专业知识和能力；3.线上交流答疑。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4"/>
              </w:rPr>
            </w:pPr>
            <w:r>
              <w:rPr>
                <w:rFonts w:hint="eastAsia" w:ascii="仿宋" w:hAnsi="仿宋" w:eastAsia="仿宋" w:cs="仿宋"/>
                <w:color w:val="000000" w:themeColor="text1"/>
                <w:sz w:val="24"/>
              </w:rPr>
              <w:t>管理层管理体系建设运行培训班</w:t>
            </w:r>
          </w:p>
        </w:tc>
        <w:tc>
          <w:tcPr>
            <w:tcW w:w="5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4"/>
              </w:rPr>
            </w:pPr>
            <w:r>
              <w:rPr>
                <w:rFonts w:hint="eastAsia" w:ascii="仿宋" w:hAnsi="仿宋" w:eastAsia="仿宋" w:cs="仿宋"/>
                <w:color w:val="000000"/>
                <w:kern w:val="0"/>
                <w:sz w:val="24"/>
              </w:rPr>
              <w:t>1.行业相关的法律法规；2.企业的风险识别和管理制度；3.企业的诚信化建设；4.企业的管理评审；3.线下主管部门工作人员和行业评审专家辅导与答疑。</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bCs/>
          <w:kern w:val="0"/>
          <w:sz w:val="28"/>
          <w:szCs w:val="28"/>
        </w:rPr>
        <w:t>培训形式</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培训中心立足于“你有所需，我有所应，你有所求，我有所办”将服务及时地通过录播+直播+线上交流+基地实操+专家指导的形式输送到你们身边。</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（一）直播课程  </w:t>
      </w:r>
      <w:r>
        <w:rPr>
          <w:rFonts w:hint="eastAsia" w:ascii="仿宋_GB2312" w:hAnsi="仿宋_GB2312" w:eastAsia="仿宋_GB2312" w:cs="仿宋_GB2312"/>
          <w:bCs/>
          <w:sz w:val="28"/>
          <w:szCs w:val="28"/>
        </w:rPr>
        <w:t>行业精英领引你快速成长。</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（二）录播课程  </w:t>
      </w:r>
      <w:r>
        <w:rPr>
          <w:rFonts w:hint="eastAsia" w:ascii="仿宋_GB2312" w:hAnsi="仿宋_GB2312" w:eastAsia="仿宋_GB2312" w:cs="仿宋_GB2312"/>
          <w:bCs/>
          <w:sz w:val="28"/>
          <w:szCs w:val="28"/>
        </w:rPr>
        <w:t>精彩回放及课程合集帮你反复温习。</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（三）实操辅导课程  </w:t>
      </w:r>
      <w:r>
        <w:rPr>
          <w:rFonts w:hint="eastAsia" w:ascii="仿宋_GB2312" w:hAnsi="仿宋_GB2312" w:eastAsia="仿宋_GB2312" w:cs="仿宋_GB2312"/>
          <w:sz w:val="28"/>
          <w:szCs w:val="28"/>
        </w:rPr>
        <w:t>行业专家为你答疑解惑</w:t>
      </w:r>
      <w:r>
        <w:rPr>
          <w:rFonts w:hint="eastAsia" w:ascii="仿宋_GB2312" w:hAnsi="仿宋_GB2312" w:eastAsia="仿宋_GB2312" w:cs="仿宋_GB2312"/>
          <w:bCs/>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三、培训特色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 xml:space="preserve"> 精英讲授，资深检测师辅导、省内专家面对面交流和答疑相结合。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培训课程和收费方式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为了帮助检测机构和企业实验室的人员提升技术能力，培训中心决定推出2021</w:t>
      </w:r>
      <w:r>
        <w:rPr>
          <w:rFonts w:hint="eastAsia" w:ascii="仿宋_GB2312" w:hAnsi="仿宋_GB2312" w:eastAsia="仿宋_GB2312" w:cs="仿宋_GB2312"/>
          <w:sz w:val="28"/>
          <w:szCs w:val="28"/>
        </w:rPr>
        <w:t>年度线上培训班：</w:t>
      </w:r>
    </w:p>
    <w:tbl>
      <w:tblPr>
        <w:tblStyle w:val="5"/>
        <w:tblW w:w="9028" w:type="dxa"/>
        <w:jc w:val="center"/>
        <w:tblLayout w:type="fixed"/>
        <w:tblCellMar>
          <w:top w:w="0" w:type="dxa"/>
          <w:left w:w="108" w:type="dxa"/>
          <w:bottom w:w="0" w:type="dxa"/>
          <w:right w:w="108" w:type="dxa"/>
        </w:tblCellMar>
      </w:tblPr>
      <w:tblGrid>
        <w:gridCol w:w="1078"/>
        <w:gridCol w:w="1116"/>
        <w:gridCol w:w="895"/>
        <w:gridCol w:w="4997"/>
        <w:gridCol w:w="942"/>
      </w:tblGrid>
      <w:tr>
        <w:tblPrEx>
          <w:tblCellMar>
            <w:top w:w="0" w:type="dxa"/>
            <w:left w:w="108" w:type="dxa"/>
            <w:bottom w:w="0" w:type="dxa"/>
            <w:right w:w="108" w:type="dxa"/>
          </w:tblCellMar>
        </w:tblPrEx>
        <w:trPr>
          <w:trHeight w:val="810"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班次</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课程编号</w:t>
            </w:r>
          </w:p>
        </w:tc>
        <w:tc>
          <w:tcPr>
            <w:tcW w:w="895" w:type="dxa"/>
            <w:tcBorders>
              <w:top w:val="single" w:color="auto" w:sz="4" w:space="0"/>
              <w:left w:val="nil"/>
              <w:bottom w:val="single" w:color="auto" w:sz="4" w:space="0"/>
              <w:right w:val="nil"/>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课程时间</w:t>
            </w:r>
          </w:p>
        </w:tc>
        <w:tc>
          <w:tcPr>
            <w:tcW w:w="499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培训内容</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 价</w:t>
            </w:r>
          </w:p>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（元）</w:t>
            </w:r>
          </w:p>
        </w:tc>
      </w:tr>
      <w:tr>
        <w:tblPrEx>
          <w:tblCellMar>
            <w:top w:w="0" w:type="dxa"/>
            <w:left w:w="108" w:type="dxa"/>
            <w:bottom w:w="0" w:type="dxa"/>
            <w:right w:w="108" w:type="dxa"/>
          </w:tblCellMar>
        </w:tblPrEx>
        <w:trPr>
          <w:trHeight w:val="515"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公益1</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GY01</w:t>
            </w:r>
          </w:p>
        </w:tc>
        <w:tc>
          <w:tcPr>
            <w:tcW w:w="895" w:type="dxa"/>
            <w:tcBorders>
              <w:top w:val="single" w:color="auto" w:sz="4" w:space="0"/>
              <w:left w:val="nil"/>
              <w:bottom w:val="single" w:color="auto" w:sz="4" w:space="0"/>
              <w:right w:val="nil"/>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3月</w:t>
            </w:r>
          </w:p>
        </w:tc>
        <w:tc>
          <w:tcPr>
            <w:tcW w:w="499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老旧小区改造相关的鉴定检测</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免费</w:t>
            </w:r>
          </w:p>
        </w:tc>
      </w:tr>
      <w:tr>
        <w:tblPrEx>
          <w:tblCellMar>
            <w:top w:w="0" w:type="dxa"/>
            <w:left w:w="108" w:type="dxa"/>
            <w:bottom w:w="0" w:type="dxa"/>
            <w:right w:w="108" w:type="dxa"/>
          </w:tblCellMar>
        </w:tblPrEx>
        <w:trPr>
          <w:trHeight w:val="485"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公益2</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GY02</w:t>
            </w:r>
          </w:p>
        </w:tc>
        <w:tc>
          <w:tcPr>
            <w:tcW w:w="895" w:type="dxa"/>
            <w:tcBorders>
              <w:top w:val="single" w:color="auto" w:sz="4" w:space="0"/>
              <w:left w:val="nil"/>
              <w:bottom w:val="single" w:color="auto" w:sz="4" w:space="0"/>
              <w:right w:val="nil"/>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8月</w:t>
            </w:r>
          </w:p>
        </w:tc>
        <w:tc>
          <w:tcPr>
            <w:tcW w:w="499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公文写作基础知识</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免费</w:t>
            </w:r>
          </w:p>
        </w:tc>
      </w:tr>
      <w:tr>
        <w:tblPrEx>
          <w:tblCellMar>
            <w:top w:w="0" w:type="dxa"/>
            <w:left w:w="108" w:type="dxa"/>
            <w:bottom w:w="0" w:type="dxa"/>
            <w:right w:w="108" w:type="dxa"/>
          </w:tblCellMar>
        </w:tblPrEx>
        <w:trPr>
          <w:trHeight w:val="1080" w:hRule="atLeast"/>
          <w:jc w:val="center"/>
        </w:trPr>
        <w:tc>
          <w:tcPr>
            <w:tcW w:w="107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建筑节能</w:t>
            </w:r>
          </w:p>
        </w:tc>
        <w:tc>
          <w:tcPr>
            <w:tcW w:w="1116" w:type="dxa"/>
            <w:vMerge w:val="restart"/>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JN01</w:t>
            </w:r>
          </w:p>
        </w:tc>
        <w:tc>
          <w:tcPr>
            <w:tcW w:w="895" w:type="dxa"/>
            <w:vMerge w:val="restart"/>
            <w:tcBorders>
              <w:top w:val="single" w:color="auto" w:sz="4" w:space="0"/>
              <w:left w:val="nil"/>
              <w:right w:val="nil"/>
            </w:tcBorders>
            <w:shd w:val="clear" w:color="auto" w:fill="auto"/>
            <w:vAlign w:val="center"/>
          </w:tcPr>
          <w:p>
            <w:pPr>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w:t>
            </w:r>
          </w:p>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预约</w:t>
            </w:r>
          </w:p>
        </w:tc>
        <w:tc>
          <w:tcPr>
            <w:tcW w:w="4997" w:type="dxa"/>
            <w:tcBorders>
              <w:top w:val="nil"/>
              <w:left w:val="single" w:color="auto" w:sz="4" w:space="0"/>
              <w:bottom w:val="single" w:color="auto" w:sz="4" w:space="0"/>
              <w:right w:val="nil"/>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1.《建筑节能工程施工质量验收规范》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GB 50411-2019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2.《建筑外门窗气密、水密、抗风压性能检测方法》GB/T7106-2019</w:t>
            </w:r>
          </w:p>
        </w:tc>
        <w:tc>
          <w:tcPr>
            <w:tcW w:w="942" w:type="dxa"/>
            <w:vMerge w:val="restart"/>
            <w:tcBorders>
              <w:top w:val="nil"/>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1400</w:t>
            </w:r>
          </w:p>
        </w:tc>
      </w:tr>
      <w:tr>
        <w:tblPrEx>
          <w:tblCellMar>
            <w:top w:w="0" w:type="dxa"/>
            <w:left w:w="108" w:type="dxa"/>
            <w:bottom w:w="0" w:type="dxa"/>
            <w:right w:w="108" w:type="dxa"/>
          </w:tblCellMar>
        </w:tblPrEx>
        <w:trPr>
          <w:trHeight w:val="1080" w:hRule="atLeast"/>
          <w:jc w:val="center"/>
        </w:trPr>
        <w:tc>
          <w:tcPr>
            <w:tcW w:w="107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nil"/>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1.建筑节能材料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2.粘接材料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3.增强材料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4.典型报告及原始记录讲解</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97" w:hRule="atLeast"/>
          <w:jc w:val="center"/>
        </w:trPr>
        <w:tc>
          <w:tcPr>
            <w:tcW w:w="107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理论考试</w:t>
            </w:r>
          </w:p>
        </w:tc>
        <w:tc>
          <w:tcPr>
            <w:tcW w:w="94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15" w:hRule="atLeast"/>
          <w:jc w:val="center"/>
        </w:trPr>
        <w:tc>
          <w:tcPr>
            <w:tcW w:w="1078"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1.现场实操</w:t>
            </w:r>
          </w:p>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2.现场答疑</w:t>
            </w:r>
          </w:p>
        </w:tc>
        <w:tc>
          <w:tcPr>
            <w:tcW w:w="9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2地基基础</w:t>
            </w:r>
          </w:p>
        </w:tc>
        <w:tc>
          <w:tcPr>
            <w:tcW w:w="1116" w:type="dxa"/>
            <w:vMerge w:val="restart"/>
            <w:tcBorders>
              <w:top w:val="single" w:color="auto" w:sz="4" w:space="0"/>
              <w:left w:val="single" w:color="auto" w:sz="4" w:space="0"/>
              <w:right w:val="single" w:color="auto" w:sz="4" w:space="0"/>
            </w:tcBorders>
            <w:shd w:val="clear" w:color="auto" w:fill="auto"/>
            <w:vAlign w:val="center"/>
          </w:tcPr>
          <w:p>
            <w:pPr>
              <w:widowControl/>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DJ01</w:t>
            </w:r>
          </w:p>
        </w:tc>
        <w:tc>
          <w:tcPr>
            <w:tcW w:w="895" w:type="dxa"/>
            <w:vMerge w:val="restart"/>
            <w:tcBorders>
              <w:top w:val="single" w:color="auto" w:sz="4" w:space="0"/>
              <w:left w:val="nil"/>
              <w:right w:val="nil"/>
            </w:tcBorders>
            <w:shd w:val="clear" w:color="auto" w:fill="auto"/>
            <w:vAlign w:val="center"/>
          </w:tcPr>
          <w:p>
            <w:pPr>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1.地基基础及检测基本知识</w:t>
            </w:r>
          </w:p>
        </w:tc>
        <w:tc>
          <w:tcPr>
            <w:tcW w:w="942"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1600</w:t>
            </w: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2.静荷载试验</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1.信息化管理的历史沿革及概况</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2.湖北省信息化监管要求</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3.标准规范的技术要求</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4.兄弟省市监管状况</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5.具体监管措施</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6.信息化监管地基基础检测案例分析</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7.工程质量检测总体状况</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8.存在的主要问题</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9.下步主要措施</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375"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基桩动测技术及案例分析</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375"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理论考试</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648"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1.现场实操</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2.现场答疑</w:t>
            </w:r>
          </w:p>
        </w:tc>
        <w:tc>
          <w:tcPr>
            <w:tcW w:w="942" w:type="dxa"/>
            <w:vMerge w:val="continue"/>
            <w:tcBorders>
              <w:left w:val="single" w:color="auto" w:sz="4" w:space="0"/>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3钢结构</w:t>
            </w:r>
          </w:p>
        </w:tc>
        <w:tc>
          <w:tcPr>
            <w:tcW w:w="1116" w:type="dxa"/>
            <w:vMerge w:val="restart"/>
            <w:tcBorders>
              <w:top w:val="nil"/>
              <w:left w:val="single" w:color="auto" w:sz="4" w:space="0"/>
              <w:right w:val="single" w:color="auto" w:sz="4" w:space="0"/>
            </w:tcBorders>
            <w:shd w:val="clear" w:color="auto" w:fill="auto"/>
            <w:vAlign w:val="center"/>
          </w:tcPr>
          <w:p>
            <w:pPr>
              <w:widowControl/>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GG01</w:t>
            </w:r>
          </w:p>
        </w:tc>
        <w:tc>
          <w:tcPr>
            <w:tcW w:w="895" w:type="dxa"/>
            <w:vMerge w:val="restart"/>
            <w:tcBorders>
              <w:top w:val="nil"/>
              <w:left w:val="nil"/>
              <w:right w:val="nil"/>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1.钢结构简介</w:t>
            </w:r>
          </w:p>
        </w:tc>
        <w:tc>
          <w:tcPr>
            <w:tcW w:w="942"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2.国外国内著名钢结构</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3.轻钢建筑在国外的发展</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4.装配式钢结构</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5.国外工程检测机构的现状与发展趋势</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6.现代检测技术</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1.人员能力确认</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2.正确处理环境条件对检测的影响 </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3.评审时设备设施的关注内容</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4.新标准方法的验证</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5.编写作业指导书 </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375"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6.现场试验前的准备</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 w:hRule="atLeast"/>
          <w:jc w:val="center"/>
        </w:trPr>
        <w:tc>
          <w:tcPr>
            <w:tcW w:w="10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4市政道路</w:t>
            </w:r>
          </w:p>
        </w:tc>
        <w:tc>
          <w:tcPr>
            <w:tcW w:w="1116"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SZ01</w:t>
            </w:r>
          </w:p>
        </w:tc>
        <w:tc>
          <w:tcPr>
            <w:tcW w:w="895" w:type="dxa"/>
            <w:vMerge w:val="restart"/>
            <w:tcBorders>
              <w:top w:val="single" w:color="auto" w:sz="4" w:space="0"/>
              <w:left w:val="nil"/>
              <w:right w:val="nil"/>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1．土工、骨料</w:t>
            </w:r>
          </w:p>
        </w:tc>
        <w:tc>
          <w:tcPr>
            <w:tcW w:w="942"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1800</w:t>
            </w: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2.无机结合料</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613"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1.沥青及沥青混合料</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2.路基路面检测</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1.公路工程验收</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2.实验检测与施工技术的匹配性</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1268"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理论考试</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1.现场实操</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2.现场答疑</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restart"/>
            <w:tcBorders>
              <w:top w:val="nil"/>
              <w:left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5见证取样</w:t>
            </w:r>
          </w:p>
        </w:tc>
        <w:tc>
          <w:tcPr>
            <w:tcW w:w="1116" w:type="dxa"/>
            <w:vMerge w:val="restart"/>
            <w:tcBorders>
              <w:top w:val="single" w:color="auto" w:sz="4" w:space="0"/>
              <w:left w:val="single" w:color="auto" w:sz="4" w:space="0"/>
              <w:right w:val="single" w:color="auto" w:sz="4" w:space="0"/>
            </w:tcBorders>
            <w:shd w:val="clear" w:color="auto" w:fill="auto"/>
            <w:vAlign w:val="center"/>
          </w:tcPr>
          <w:p>
            <w:pPr>
              <w:widowControl/>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JZ01</w:t>
            </w:r>
          </w:p>
        </w:tc>
        <w:tc>
          <w:tcPr>
            <w:tcW w:w="895" w:type="dxa"/>
            <w:vMerge w:val="restart"/>
            <w:tcBorders>
              <w:top w:val="single" w:color="auto" w:sz="4" w:space="0"/>
              <w:left w:val="nil"/>
              <w:right w:val="nil"/>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1.建筑工程质量管理的相关法律法规</w:t>
            </w:r>
          </w:p>
        </w:tc>
        <w:tc>
          <w:tcPr>
            <w:tcW w:w="942"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1800</w:t>
            </w: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2.信息化管理的运行</w:t>
            </w:r>
          </w:p>
        </w:tc>
        <w:tc>
          <w:tcPr>
            <w:tcW w:w="942"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墙体和防水材料</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810" w:hRule="atLeast"/>
          <w:jc w:val="center"/>
        </w:trPr>
        <w:tc>
          <w:tcPr>
            <w:tcW w:w="107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水泥、外加剂、骨料、混凝土和砂浆配合比、拌合物及力学性能高性能混凝土及应用</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钢筋及焊接、连接件、型钢</w:t>
            </w:r>
          </w:p>
        </w:tc>
        <w:tc>
          <w:tcPr>
            <w:tcW w:w="942"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理论考试</w:t>
            </w:r>
          </w:p>
        </w:tc>
        <w:tc>
          <w:tcPr>
            <w:tcW w:w="94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760" w:hRule="atLeast"/>
          <w:jc w:val="center"/>
        </w:trPr>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top w:val="single" w:color="auto" w:sz="4" w:space="0"/>
              <w:left w:val="nil"/>
              <w:bottom w:val="single" w:color="auto" w:sz="4" w:space="0"/>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1.现场实操</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2.现场答疑</w:t>
            </w:r>
          </w:p>
        </w:tc>
        <w:tc>
          <w:tcPr>
            <w:tcW w:w="9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634" w:hRule="atLeast"/>
          <w:jc w:val="center"/>
        </w:trPr>
        <w:tc>
          <w:tcPr>
            <w:tcW w:w="1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6沉降观测</w:t>
            </w:r>
          </w:p>
        </w:tc>
        <w:tc>
          <w:tcPr>
            <w:tcW w:w="1116" w:type="dxa"/>
            <w:vMerge w:val="restart"/>
            <w:tcBorders>
              <w:top w:val="single" w:color="auto" w:sz="4" w:space="0"/>
              <w:left w:val="nil"/>
              <w:right w:val="single" w:color="auto" w:sz="4" w:space="0"/>
            </w:tcBorders>
            <w:shd w:val="clear" w:color="auto" w:fill="auto"/>
            <w:vAlign w:val="center"/>
          </w:tcPr>
          <w:p>
            <w:pPr>
              <w:widowControl/>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DJ02</w:t>
            </w:r>
          </w:p>
        </w:tc>
        <w:tc>
          <w:tcPr>
            <w:tcW w:w="895" w:type="dxa"/>
            <w:vMerge w:val="restart"/>
            <w:tcBorders>
              <w:top w:val="single" w:color="auto" w:sz="4" w:space="0"/>
              <w:left w:val="nil"/>
              <w:right w:val="nil"/>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沉降观测</w:t>
            </w:r>
          </w:p>
        </w:tc>
        <w:tc>
          <w:tcPr>
            <w:tcW w:w="942" w:type="dxa"/>
            <w:vMerge w:val="restart"/>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w:t>
            </w:r>
          </w:p>
        </w:tc>
      </w:tr>
      <w:tr>
        <w:tblPrEx>
          <w:tblCellMar>
            <w:top w:w="0" w:type="dxa"/>
            <w:left w:w="108" w:type="dxa"/>
            <w:bottom w:w="0" w:type="dxa"/>
            <w:right w:w="108" w:type="dxa"/>
          </w:tblCellMar>
        </w:tblPrEx>
        <w:trPr>
          <w:trHeight w:val="1124" w:hRule="atLeast"/>
          <w:jc w:val="center"/>
        </w:trPr>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沉降观测现场实操</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现场答疑</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3.理论考试</w:t>
            </w:r>
          </w:p>
        </w:tc>
        <w:tc>
          <w:tcPr>
            <w:tcW w:w="94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45" w:hRule="atLeast"/>
          <w:jc w:val="center"/>
        </w:trPr>
        <w:tc>
          <w:tcPr>
            <w:tcW w:w="1078" w:type="dxa"/>
            <w:vMerge w:val="restart"/>
            <w:tcBorders>
              <w:top w:val="nil"/>
              <w:left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7基坑监测</w:t>
            </w:r>
          </w:p>
        </w:tc>
        <w:tc>
          <w:tcPr>
            <w:tcW w:w="1116" w:type="dxa"/>
            <w:vMerge w:val="restart"/>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JK01</w:t>
            </w:r>
          </w:p>
        </w:tc>
        <w:tc>
          <w:tcPr>
            <w:tcW w:w="895" w:type="dxa"/>
            <w:vMerge w:val="restart"/>
            <w:tcBorders>
              <w:left w:val="nil"/>
              <w:right w:val="nil"/>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基坑监测</w:t>
            </w:r>
          </w:p>
        </w:tc>
        <w:tc>
          <w:tcPr>
            <w:tcW w:w="942" w:type="dxa"/>
            <w:vMerge w:val="restart"/>
            <w:tcBorders>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w:t>
            </w:r>
          </w:p>
        </w:tc>
      </w:tr>
      <w:tr>
        <w:tblPrEx>
          <w:tblCellMar>
            <w:top w:w="0" w:type="dxa"/>
            <w:left w:w="108" w:type="dxa"/>
            <w:bottom w:w="0" w:type="dxa"/>
            <w:right w:w="108" w:type="dxa"/>
          </w:tblCellMar>
        </w:tblPrEx>
        <w:trPr>
          <w:trHeight w:val="1235" w:hRule="atLeast"/>
          <w:jc w:val="center"/>
        </w:trPr>
        <w:tc>
          <w:tcPr>
            <w:tcW w:w="1078"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nil"/>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基坑监测现场实操</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现场答疑</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3.理论考试</w:t>
            </w:r>
          </w:p>
        </w:tc>
        <w:tc>
          <w:tcPr>
            <w:tcW w:w="94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792" w:hRule="atLeast"/>
          <w:jc w:val="center"/>
        </w:trPr>
        <w:tc>
          <w:tcPr>
            <w:tcW w:w="107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8装配式建筑</w:t>
            </w:r>
          </w:p>
        </w:tc>
        <w:tc>
          <w:tcPr>
            <w:tcW w:w="1116"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ZP01</w:t>
            </w:r>
          </w:p>
        </w:tc>
        <w:tc>
          <w:tcPr>
            <w:tcW w:w="895" w:type="dxa"/>
            <w:vMerge w:val="restart"/>
            <w:tcBorders>
              <w:top w:val="nil"/>
              <w:left w:val="single" w:color="auto" w:sz="4" w:space="0"/>
              <w:right w:val="single" w:color="auto" w:sz="4" w:space="0"/>
            </w:tcBorders>
            <w:shd w:val="clear" w:color="auto" w:fill="auto"/>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1.装配式建筑的政策指导</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2.装配式结构发展趋势、应用情况、质量现状</w:t>
            </w:r>
          </w:p>
        </w:tc>
        <w:tc>
          <w:tcPr>
            <w:tcW w:w="942" w:type="dxa"/>
            <w:vMerge w:val="restart"/>
            <w:tcBorders>
              <w:top w:val="nil"/>
              <w:left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1070" w:hRule="atLeast"/>
          <w:jc w:val="center"/>
        </w:trPr>
        <w:tc>
          <w:tcPr>
            <w:tcW w:w="1078" w:type="dxa"/>
            <w:vMerge w:val="continue"/>
            <w:tcBorders>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p>
        </w:tc>
        <w:tc>
          <w:tcPr>
            <w:tcW w:w="1116" w:type="dxa"/>
            <w:vMerge w:val="continue"/>
            <w:tcBorders>
              <w:left w:val="single" w:color="auto" w:sz="4" w:space="0"/>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p>
        </w:tc>
        <w:tc>
          <w:tcPr>
            <w:tcW w:w="4997" w:type="dxa"/>
            <w:tcBorders>
              <w:top w:val="single" w:color="auto" w:sz="4" w:space="0"/>
              <w:left w:val="nil"/>
              <w:bottom w:val="nil"/>
              <w:right w:val="nil"/>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1.装配式混凝土结构检测与验收 </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2.构配件质量检测与节点连接质量构配件质量检测与节点连接质量检测</w:t>
            </w:r>
          </w:p>
        </w:tc>
        <w:tc>
          <w:tcPr>
            <w:tcW w:w="942" w:type="dxa"/>
            <w:vMerge w:val="continue"/>
            <w:tcBorders>
              <w:left w:val="single" w:color="auto" w:sz="4" w:space="0"/>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107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9主体结构</w:t>
            </w:r>
          </w:p>
        </w:tc>
        <w:tc>
          <w:tcPr>
            <w:tcW w:w="1116" w:type="dxa"/>
            <w:vMerge w:val="restart"/>
            <w:tcBorders>
              <w:top w:val="single" w:color="auto" w:sz="4" w:space="0"/>
              <w:left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ZT01</w:t>
            </w:r>
          </w:p>
        </w:tc>
        <w:tc>
          <w:tcPr>
            <w:tcW w:w="895" w:type="dxa"/>
            <w:vMerge w:val="restart"/>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1、主体结构五项常规检测</w:t>
            </w:r>
          </w:p>
        </w:tc>
        <w:tc>
          <w:tcPr>
            <w:tcW w:w="942" w:type="dxa"/>
            <w:vMerge w:val="restart"/>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1600</w:t>
            </w:r>
          </w:p>
        </w:tc>
      </w:tr>
      <w:tr>
        <w:tblPrEx>
          <w:tblCellMar>
            <w:top w:w="0" w:type="dxa"/>
            <w:left w:w="108" w:type="dxa"/>
            <w:bottom w:w="0" w:type="dxa"/>
            <w:right w:w="108" w:type="dxa"/>
          </w:tblCellMar>
        </w:tblPrEx>
        <w:trPr>
          <w:trHeight w:val="563" w:hRule="atLeast"/>
          <w:jc w:val="center"/>
        </w:trPr>
        <w:tc>
          <w:tcPr>
            <w:tcW w:w="1078"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2、设备安装常规项目</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4" w:space="0"/>
              <w:right w:val="single" w:color="auto" w:sz="4" w:space="0"/>
            </w:tcBorders>
            <w:shd w:val="clear" w:color="auto" w:fill="auto"/>
            <w:vAlign w:val="center"/>
          </w:tcPr>
          <w:p>
            <w:pPr>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1.《混凝土结构工程施工质量验收规范》 GB50204-2015</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2.质量监督中检测对象的关键点控制</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72" w:hRule="atLeast"/>
          <w:jc w:val="center"/>
        </w:trPr>
        <w:tc>
          <w:tcPr>
            <w:tcW w:w="1078" w:type="dxa"/>
            <w:vMerge w:val="continue"/>
            <w:tcBorders>
              <w:left w:val="single" w:color="auto" w:sz="4" w:space="0"/>
              <w:right w:val="single" w:color="auto" w:sz="4" w:space="0"/>
            </w:tcBorders>
            <w:shd w:val="clear" w:color="auto" w:fill="auto"/>
            <w:vAlign w:val="center"/>
          </w:tcPr>
          <w:p>
            <w:pPr>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理论考试</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878" w:hRule="atLeast"/>
          <w:jc w:val="center"/>
        </w:trPr>
        <w:tc>
          <w:tcPr>
            <w:tcW w:w="1078" w:type="dxa"/>
            <w:vMerge w:val="continue"/>
            <w:tcBorders>
              <w:left w:val="single" w:color="auto" w:sz="4" w:space="0"/>
              <w:right w:val="single" w:color="auto" w:sz="4" w:space="0"/>
            </w:tcBorders>
            <w:shd w:val="clear" w:color="auto" w:fill="auto"/>
            <w:vAlign w:val="center"/>
          </w:tcPr>
          <w:p>
            <w:pPr>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p>
        </w:tc>
        <w:tc>
          <w:tcPr>
            <w:tcW w:w="4997" w:type="dxa"/>
            <w:tcBorders>
              <w:top w:val="nil"/>
              <w:left w:val="nil"/>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1.现场实操</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2.现场答疑</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1273" w:hRule="atLeast"/>
          <w:jc w:val="center"/>
        </w:trPr>
        <w:tc>
          <w:tcPr>
            <w:tcW w:w="1078" w:type="dxa"/>
            <w:vMerge w:val="restart"/>
            <w:tcBorders>
              <w:top w:val="single" w:color="auto" w:sz="4" w:space="0"/>
              <w:left w:val="single" w:color="auto" w:sz="4" w:space="0"/>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10环境检测</w:t>
            </w:r>
          </w:p>
        </w:tc>
        <w:tc>
          <w:tcPr>
            <w:tcW w:w="1116" w:type="dxa"/>
            <w:vMerge w:val="restart"/>
            <w:tcBorders>
              <w:top w:val="single" w:color="auto" w:sz="4" w:space="0"/>
              <w:left w:val="nil"/>
              <w:bottom w:val="nil"/>
              <w:right w:val="single" w:color="auto" w:sz="4" w:space="0"/>
            </w:tcBorders>
            <w:shd w:val="clear" w:color="auto" w:fill="auto"/>
            <w:vAlign w:val="center"/>
          </w:tcPr>
          <w:p>
            <w:pPr>
              <w:widowControl/>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HJ01</w:t>
            </w:r>
          </w:p>
        </w:tc>
        <w:tc>
          <w:tcPr>
            <w:tcW w:w="895" w:type="dxa"/>
            <w:vMerge w:val="restart"/>
            <w:tcBorders>
              <w:top w:val="single" w:color="auto" w:sz="4" w:space="0"/>
              <w:left w:val="nil"/>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1.建筑工程环境检测的政策法规</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2.化学分析的试验方法</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3.标准曲线的绘制</w:t>
            </w:r>
          </w:p>
        </w:tc>
        <w:tc>
          <w:tcPr>
            <w:tcW w:w="942" w:type="dxa"/>
            <w:vMerge w:val="restart"/>
            <w:tcBorders>
              <w:top w:val="single" w:color="auto" w:sz="4" w:space="0"/>
              <w:left w:val="nil"/>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1600</w:t>
            </w:r>
          </w:p>
        </w:tc>
      </w:tr>
      <w:tr>
        <w:tblPrEx>
          <w:tblCellMar>
            <w:top w:w="0" w:type="dxa"/>
            <w:left w:w="108" w:type="dxa"/>
            <w:bottom w:w="0" w:type="dxa"/>
            <w:right w:w="108" w:type="dxa"/>
          </w:tblCellMar>
        </w:tblPrEx>
        <w:trPr>
          <w:trHeight w:val="1924" w:hRule="atLeast"/>
          <w:jc w:val="center"/>
        </w:trPr>
        <w:tc>
          <w:tcPr>
            <w:tcW w:w="1078" w:type="dxa"/>
            <w:vMerge w:val="continue"/>
            <w:tcBorders>
              <w:left w:val="single" w:color="auto" w:sz="4" w:space="0"/>
              <w:bottom w:val="nil"/>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nil"/>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1.《民用建筑工程室内环境污染物控制规</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范》GB50325-2020; </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2.室内环境污染物检测检测技术</w:t>
            </w:r>
          </w:p>
        </w:tc>
        <w:tc>
          <w:tcPr>
            <w:tcW w:w="942" w:type="dxa"/>
            <w:vMerge w:val="continue"/>
            <w:tcBorders>
              <w:left w:val="nil"/>
              <w:bottom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602" w:hRule="atLeast"/>
          <w:jc w:val="center"/>
        </w:trPr>
        <w:tc>
          <w:tcPr>
            <w:tcW w:w="1078" w:type="dxa"/>
            <w:vMerge w:val="continue"/>
            <w:tcBorders>
              <w:left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49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现场实操、报告编写、答疑</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653" w:hRule="atLeast"/>
          <w:jc w:val="center"/>
        </w:trPr>
        <w:tc>
          <w:tcPr>
            <w:tcW w:w="1078"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p>
        </w:tc>
        <w:tc>
          <w:tcPr>
            <w:tcW w:w="1116" w:type="dxa"/>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c>
          <w:tcPr>
            <w:tcW w:w="89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p>
        </w:tc>
        <w:tc>
          <w:tcPr>
            <w:tcW w:w="499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理论考试</w:t>
            </w:r>
          </w:p>
        </w:tc>
        <w:tc>
          <w:tcPr>
            <w:tcW w:w="942" w:type="dxa"/>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75" w:hRule="atLeast"/>
          <w:jc w:val="center"/>
        </w:trPr>
        <w:tc>
          <w:tcPr>
            <w:tcW w:w="1078"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11管理体系</w:t>
            </w:r>
          </w:p>
        </w:tc>
        <w:tc>
          <w:tcPr>
            <w:tcW w:w="1116" w:type="dxa"/>
            <w:vMerge w:val="restart"/>
            <w:tcBorders>
              <w:top w:val="single" w:color="auto" w:sz="4" w:space="0"/>
              <w:left w:val="nil"/>
              <w:right w:val="single" w:color="auto" w:sz="4" w:space="0"/>
            </w:tcBorders>
            <w:shd w:val="clear" w:color="auto" w:fill="auto"/>
            <w:vAlign w:val="center"/>
          </w:tcPr>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TX01</w:t>
            </w:r>
          </w:p>
        </w:tc>
        <w:tc>
          <w:tcPr>
            <w:tcW w:w="895" w:type="dxa"/>
            <w:vMerge w:val="restart"/>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sz w:val="24"/>
                <w:szCs w:val="24"/>
              </w:rPr>
            </w:pPr>
            <w:r>
              <w:rPr>
                <w:rFonts w:hint="eastAsia" w:ascii="仿宋" w:hAnsi="仿宋" w:eastAsia="仿宋" w:cs="仿宋"/>
                <w:color w:val="000000"/>
                <w:kern w:val="0"/>
                <w:sz w:val="24"/>
                <w:szCs w:val="24"/>
              </w:rPr>
              <w:t>《检验检测机构资质认定能力评价 检验检测机构通用要求》（RB/T214-2017）要点解读与管理办法讲解</w:t>
            </w:r>
          </w:p>
        </w:tc>
        <w:tc>
          <w:tcPr>
            <w:tcW w:w="942" w:type="dxa"/>
            <w:vMerge w:val="restart"/>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1200</w:t>
            </w:r>
          </w:p>
        </w:tc>
      </w:tr>
      <w:tr>
        <w:tblPrEx>
          <w:tblCellMar>
            <w:top w:w="0" w:type="dxa"/>
            <w:left w:w="108" w:type="dxa"/>
            <w:bottom w:w="0" w:type="dxa"/>
            <w:right w:w="108" w:type="dxa"/>
          </w:tblCellMar>
        </w:tblPrEx>
        <w:trPr>
          <w:trHeight w:val="575" w:hRule="atLeast"/>
          <w:jc w:val="center"/>
        </w:trPr>
        <w:tc>
          <w:tcPr>
            <w:tcW w:w="1078" w:type="dxa"/>
            <w:vMerge w:val="continue"/>
            <w:tcBorders>
              <w:left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sz w:val="24"/>
                <w:szCs w:val="24"/>
              </w:rPr>
            </w:pPr>
          </w:p>
        </w:tc>
        <w:tc>
          <w:tcPr>
            <w:tcW w:w="1116" w:type="dxa"/>
            <w:vMerge w:val="continue"/>
            <w:tcBorders>
              <w:left w:val="nil"/>
              <w:right w:val="single" w:color="auto" w:sz="4" w:space="0"/>
            </w:tcBorders>
            <w:shd w:val="clear" w:color="auto" w:fill="auto"/>
            <w:vAlign w:val="center"/>
          </w:tcPr>
          <w:p>
            <w:pPr>
              <w:spacing w:line="360" w:lineRule="auto"/>
              <w:jc w:val="center"/>
              <w:rPr>
                <w:rFonts w:hint="eastAsia" w:ascii="仿宋" w:hAnsi="仿宋" w:eastAsia="仿宋" w:cs="仿宋"/>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sz w:val="24"/>
                <w:szCs w:val="24"/>
              </w:rPr>
            </w:pPr>
          </w:p>
        </w:tc>
        <w:tc>
          <w:tcPr>
            <w:tcW w:w="4997"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sz w:val="24"/>
                <w:szCs w:val="24"/>
              </w:rPr>
            </w:pPr>
            <w:r>
              <w:rPr>
                <w:rFonts w:hint="eastAsia" w:ascii="仿宋" w:hAnsi="仿宋" w:eastAsia="仿宋" w:cs="仿宋"/>
                <w:color w:val="000000"/>
                <w:kern w:val="0"/>
                <w:sz w:val="24"/>
                <w:szCs w:val="24"/>
              </w:rPr>
              <w:t>《检验检测机构资质认定能力评价 检验检测机构通用要求》（RB/T214-2017）要点解读与管理办法讲解</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5" w:hRule="atLeast"/>
          <w:jc w:val="center"/>
        </w:trPr>
        <w:tc>
          <w:tcPr>
            <w:tcW w:w="1078" w:type="dxa"/>
            <w:vMerge w:val="continue"/>
            <w:tcBorders>
              <w:left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sz w:val="24"/>
                <w:szCs w:val="24"/>
              </w:rPr>
            </w:pPr>
          </w:p>
        </w:tc>
        <w:tc>
          <w:tcPr>
            <w:tcW w:w="1116" w:type="dxa"/>
            <w:vMerge w:val="continue"/>
            <w:tcBorders>
              <w:left w:val="nil"/>
              <w:right w:val="single" w:color="auto" w:sz="4" w:space="0"/>
            </w:tcBorders>
            <w:shd w:val="clear" w:color="auto" w:fill="auto"/>
            <w:vAlign w:val="center"/>
          </w:tcPr>
          <w:p>
            <w:pPr>
              <w:spacing w:line="360" w:lineRule="auto"/>
              <w:jc w:val="center"/>
              <w:rPr>
                <w:rFonts w:hint="eastAsia" w:ascii="仿宋" w:hAnsi="仿宋" w:eastAsia="仿宋" w:cs="仿宋"/>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sz w:val="24"/>
                <w:szCs w:val="24"/>
              </w:rPr>
            </w:pP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1）内部审核策划；</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2）内部审核的准备；</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3）现场审核的实施；</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4）纠正措施的跟踪与验证;</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5）内审员及其组长的职责；</w:t>
            </w:r>
          </w:p>
          <w:p>
            <w:pPr>
              <w:widowControl/>
              <w:jc w:val="center"/>
              <w:rPr>
                <w:rFonts w:hint="eastAsia" w:ascii="仿宋" w:hAnsi="仿宋" w:eastAsia="仿宋" w:cs="仿宋"/>
                <w:sz w:val="24"/>
                <w:szCs w:val="24"/>
              </w:rPr>
            </w:pPr>
            <w:r>
              <w:rPr>
                <w:rFonts w:hint="eastAsia" w:ascii="仿宋" w:hAnsi="仿宋" w:eastAsia="仿宋" w:cs="仿宋"/>
                <w:color w:val="000000"/>
                <w:kern w:val="0"/>
                <w:sz w:val="24"/>
                <w:szCs w:val="24"/>
              </w:rPr>
              <w:t>6）内审中的案例分析和如何制定纠正措施</w:t>
            </w:r>
          </w:p>
        </w:tc>
        <w:tc>
          <w:tcPr>
            <w:tcW w:w="942" w:type="dxa"/>
            <w:vMerge w:val="continue"/>
            <w:tcBorders>
              <w:left w:val="nil"/>
              <w:right w:val="single" w:color="auto"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5" w:hRule="atLeast"/>
          <w:jc w:val="center"/>
        </w:trPr>
        <w:tc>
          <w:tcPr>
            <w:tcW w:w="1078" w:type="dxa"/>
            <w:vMerge w:val="continue"/>
            <w:tcBorders>
              <w:left w:val="single" w:color="auto" w:sz="4" w:space="0"/>
              <w:right w:val="single" w:color="auto" w:sz="4" w:space="0"/>
            </w:tcBorders>
            <w:shd w:val="clear" w:color="auto" w:fill="auto"/>
            <w:vAlign w:val="center"/>
          </w:tcPr>
          <w:p>
            <w:pPr>
              <w:widowControl/>
              <w:rPr>
                <w:rFonts w:hint="eastAsia" w:ascii="仿宋" w:hAnsi="仿宋" w:eastAsia="仿宋" w:cs="仿宋"/>
                <w:sz w:val="24"/>
                <w:szCs w:val="24"/>
              </w:rPr>
            </w:pPr>
          </w:p>
        </w:tc>
        <w:tc>
          <w:tcPr>
            <w:tcW w:w="1116" w:type="dxa"/>
            <w:vMerge w:val="continue"/>
            <w:tcBorders>
              <w:left w:val="nil"/>
              <w:right w:val="single" w:color="auto" w:sz="4" w:space="0"/>
            </w:tcBorders>
            <w:shd w:val="clear" w:color="auto" w:fill="auto"/>
            <w:vAlign w:val="center"/>
          </w:tcPr>
          <w:p>
            <w:pPr>
              <w:spacing w:line="360" w:lineRule="auto"/>
              <w:jc w:val="center"/>
              <w:rPr>
                <w:rFonts w:hint="eastAsia" w:ascii="仿宋" w:hAnsi="仿宋" w:eastAsia="仿宋" w:cs="仿宋"/>
                <w:sz w:val="24"/>
                <w:szCs w:val="24"/>
              </w:rPr>
            </w:pPr>
          </w:p>
        </w:tc>
        <w:tc>
          <w:tcPr>
            <w:tcW w:w="895" w:type="dxa"/>
            <w:vMerge w:val="continue"/>
            <w:tcBorders>
              <w:left w:val="nil"/>
              <w:right w:val="single" w:color="auto" w:sz="4" w:space="0"/>
            </w:tcBorders>
            <w:shd w:val="clear" w:color="auto" w:fill="auto"/>
            <w:vAlign w:val="center"/>
          </w:tcPr>
          <w:p>
            <w:pPr>
              <w:jc w:val="center"/>
              <w:rPr>
                <w:rFonts w:hint="eastAsia" w:ascii="仿宋" w:hAnsi="仿宋" w:eastAsia="仿宋" w:cs="仿宋"/>
                <w:sz w:val="24"/>
                <w:szCs w:val="24"/>
              </w:rPr>
            </w:pP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质量监督、质量控制</w:t>
            </w:r>
          </w:p>
          <w:p>
            <w:pPr>
              <w:widowControl/>
              <w:jc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《质量手册》、《程序文件》内审方法和现场指导</w:t>
            </w:r>
          </w:p>
        </w:tc>
        <w:tc>
          <w:tcPr>
            <w:tcW w:w="942" w:type="dxa"/>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610" w:hRule="atLeast"/>
          <w:jc w:val="center"/>
        </w:trPr>
        <w:tc>
          <w:tcPr>
            <w:tcW w:w="107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1116" w:type="dxa"/>
            <w:vMerge w:val="continue"/>
            <w:tcBorders>
              <w:left w:val="nil"/>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kern w:val="0"/>
                <w:sz w:val="24"/>
                <w:szCs w:val="24"/>
              </w:rPr>
            </w:pPr>
          </w:p>
        </w:tc>
        <w:tc>
          <w:tcPr>
            <w:tcW w:w="89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理论考试</w:t>
            </w:r>
          </w:p>
        </w:tc>
        <w:tc>
          <w:tcPr>
            <w:tcW w:w="942"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575" w:hRule="atLeast"/>
          <w:jc w:val="center"/>
        </w:trPr>
        <w:tc>
          <w:tcPr>
            <w:tcW w:w="107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12房屋安全鉴定</w:t>
            </w:r>
          </w:p>
          <w:p>
            <w:pPr>
              <w:widowControl/>
              <w:rPr>
                <w:rFonts w:hint="eastAsia" w:ascii="仿宋" w:hAnsi="仿宋" w:eastAsia="仿宋" w:cs="仿宋"/>
                <w:kern w:val="0"/>
                <w:sz w:val="24"/>
                <w:szCs w:val="24"/>
              </w:rPr>
            </w:pPr>
          </w:p>
        </w:tc>
        <w:tc>
          <w:tcPr>
            <w:tcW w:w="1116" w:type="dxa"/>
            <w:vMerge w:val="restart"/>
            <w:tcBorders>
              <w:top w:val="single" w:color="auto" w:sz="4" w:space="0"/>
              <w:left w:val="nil"/>
              <w:right w:val="single" w:color="auto" w:sz="4" w:space="0"/>
            </w:tcBorders>
            <w:shd w:val="clear" w:color="auto" w:fill="auto"/>
            <w:vAlign w:val="center"/>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JD01</w:t>
            </w:r>
          </w:p>
        </w:tc>
        <w:tc>
          <w:tcPr>
            <w:tcW w:w="895" w:type="dxa"/>
            <w:vMerge w:val="restart"/>
            <w:tcBorders>
              <w:top w:val="single" w:color="auto" w:sz="4" w:space="0"/>
              <w:left w:val="nil"/>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随时预约</w:t>
            </w:r>
          </w:p>
        </w:tc>
        <w:tc>
          <w:tcPr>
            <w:tcW w:w="4997"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sz w:val="24"/>
                <w:szCs w:val="24"/>
              </w:rPr>
              <w:t>《</w:t>
            </w:r>
            <w:r>
              <w:rPr>
                <w:rFonts w:hint="eastAsia" w:ascii="仿宋" w:hAnsi="仿宋" w:eastAsia="仿宋" w:cs="仿宋"/>
                <w:color w:val="000000"/>
                <w:kern w:val="0"/>
                <w:sz w:val="24"/>
                <w:szCs w:val="24"/>
              </w:rPr>
              <w:t>工业建筑可靠性鉴定标准</w:t>
            </w:r>
            <w:r>
              <w:rPr>
                <w:rFonts w:hint="eastAsia" w:ascii="仿宋" w:hAnsi="仿宋" w:eastAsia="仿宋" w:cs="仿宋"/>
                <w:sz w:val="24"/>
                <w:szCs w:val="24"/>
              </w:rPr>
              <w:t>》</w:t>
            </w:r>
          </w:p>
          <w:p>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GB 50144-2019解读</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2.工业厂房的构造</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3.工业建筑现场检测操作</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4.各类工业建筑现场鉴定实例</w:t>
            </w:r>
          </w:p>
        </w:tc>
        <w:tc>
          <w:tcPr>
            <w:tcW w:w="942" w:type="dxa"/>
            <w:vMerge w:val="restart"/>
            <w:tcBorders>
              <w:top w:val="single" w:color="auto" w:sz="4" w:space="0"/>
              <w:left w:val="nil"/>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1200</w:t>
            </w:r>
          </w:p>
        </w:tc>
      </w:tr>
      <w:tr>
        <w:tblPrEx>
          <w:tblCellMar>
            <w:top w:w="0" w:type="dxa"/>
            <w:left w:w="108" w:type="dxa"/>
            <w:bottom w:w="0" w:type="dxa"/>
            <w:right w:w="108" w:type="dxa"/>
          </w:tblCellMar>
        </w:tblPrEx>
        <w:trPr>
          <w:trHeight w:val="575" w:hRule="atLeast"/>
          <w:jc w:val="center"/>
        </w:trPr>
        <w:tc>
          <w:tcPr>
            <w:tcW w:w="1078" w:type="dxa"/>
            <w:vMerge w:val="continue"/>
            <w:tcBorders>
              <w:left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1116" w:type="dxa"/>
            <w:vMerge w:val="continue"/>
            <w:tcBorders>
              <w:left w:val="nil"/>
              <w:right w:val="single" w:color="auto" w:sz="4" w:space="0"/>
            </w:tcBorders>
            <w:shd w:val="clear" w:color="auto" w:fill="auto"/>
            <w:vAlign w:val="center"/>
          </w:tcPr>
          <w:p>
            <w:pPr>
              <w:spacing w:line="360" w:lineRule="auto"/>
              <w:jc w:val="center"/>
              <w:rPr>
                <w:rFonts w:hint="eastAsia" w:ascii="仿宋" w:hAnsi="仿宋" w:eastAsia="仿宋" w:cs="仿宋"/>
                <w:kern w:val="0"/>
                <w:sz w:val="24"/>
                <w:szCs w:val="24"/>
              </w:rPr>
            </w:pPr>
          </w:p>
        </w:tc>
        <w:tc>
          <w:tcPr>
            <w:tcW w:w="895" w:type="dxa"/>
            <w:vMerge w:val="continue"/>
            <w:tcBorders>
              <w:left w:val="nil"/>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1.《民用建筑可靠性鉴定标准》</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GB 50292-2015解读</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2.民用建筑的结构分析</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3.民用建筑现场检测操作</w:t>
            </w:r>
          </w:p>
          <w:p>
            <w:pPr>
              <w:widowControl/>
              <w:jc w:val="left"/>
              <w:rPr>
                <w:rFonts w:hint="eastAsia" w:ascii="仿宋" w:hAnsi="仿宋" w:eastAsia="仿宋" w:cs="仿宋"/>
                <w:kern w:val="0"/>
                <w:sz w:val="24"/>
                <w:szCs w:val="24"/>
              </w:rPr>
            </w:pPr>
            <w:r>
              <w:rPr>
                <w:rFonts w:hint="eastAsia" w:ascii="仿宋" w:hAnsi="仿宋" w:eastAsia="仿宋" w:cs="仿宋"/>
                <w:color w:val="000000"/>
                <w:kern w:val="0"/>
                <w:sz w:val="24"/>
                <w:szCs w:val="24"/>
              </w:rPr>
              <w:t>4.各类民用建筑现场安全鉴定实例</w:t>
            </w:r>
          </w:p>
        </w:tc>
        <w:tc>
          <w:tcPr>
            <w:tcW w:w="942" w:type="dxa"/>
            <w:vMerge w:val="continue"/>
            <w:tcBorders>
              <w:left w:val="nil"/>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575" w:hRule="atLeast"/>
          <w:jc w:val="center"/>
        </w:trPr>
        <w:tc>
          <w:tcPr>
            <w:tcW w:w="107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1116" w:type="dxa"/>
            <w:vMerge w:val="continue"/>
            <w:tcBorders>
              <w:left w:val="nil"/>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kern w:val="0"/>
                <w:sz w:val="24"/>
                <w:szCs w:val="24"/>
              </w:rPr>
            </w:pPr>
          </w:p>
        </w:tc>
        <w:tc>
          <w:tcPr>
            <w:tcW w:w="89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4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权威专家现场答疑、辅导</w:t>
            </w:r>
          </w:p>
        </w:tc>
        <w:tc>
          <w:tcPr>
            <w:tcW w:w="942" w:type="dxa"/>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r>
    </w:tbl>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收费说明：</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（一）专项报名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报名培训项目中具体收费标准如上表所示，请大家在回执表中填写所需课程编号及人数。</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考试和实操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考试和实操按20人一组小班开展，与培训中心预约时间。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（三）VIP会员服务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如机构报名培训课程30人次以上，则可享受会员服务，具体事宜联系培训中心。</w:t>
      </w:r>
    </w:p>
    <w:p>
      <w:pPr>
        <w:keepNext w:val="0"/>
        <w:keepLines w:val="0"/>
        <w:pageBreakBefore w:val="0"/>
        <w:kinsoku/>
        <w:wordWrap/>
        <w:overflowPunct/>
        <w:topLinePunct w:val="0"/>
        <w:autoSpaceDE/>
        <w:autoSpaceDN/>
        <w:bidi w:val="0"/>
        <w:adjustRightInd/>
        <w:snapToGrid/>
        <w:spacing w:line="560" w:lineRule="exact"/>
        <w:ind w:firstLine="420" w:firstLineChars="1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五、培训证书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 xml:space="preserve">    培训并经考试合格后由湖北省建筑科学研究设计院股份有限公司颁发证书。</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color w:val="000000"/>
          <w:sz w:val="28"/>
          <w:szCs w:val="28"/>
        </w:rPr>
        <w:t>培训费请提前汇款</w:t>
      </w:r>
      <w:r>
        <w:rPr>
          <w:rFonts w:hint="eastAsia" w:ascii="仿宋_GB2312" w:hAnsi="仿宋_GB2312" w:eastAsia="仿宋_GB2312" w:cs="仿宋_GB2312"/>
          <w:b/>
          <w:sz w:val="28"/>
          <w:szCs w:val="28"/>
        </w:rPr>
        <w:t>，请汇入以下账号：（现场不安排缴费）</w:t>
      </w:r>
    </w:p>
    <w:p>
      <w:pPr>
        <w:keepNext w:val="0"/>
        <w:keepLines w:val="0"/>
        <w:pageBreakBefore w:val="0"/>
        <w:widowControl/>
        <w:kinsoku/>
        <w:wordWrap/>
        <w:overflowPunct/>
        <w:topLinePunct w:val="0"/>
        <w:autoSpaceDE/>
        <w:autoSpaceDN/>
        <w:bidi w:val="0"/>
        <w:adjustRightInd/>
        <w:snapToGrid/>
        <w:spacing w:line="560" w:lineRule="exact"/>
        <w:ind w:left="640" w:leftChars="305"/>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名称：湖北省建筑科学研究设计院股份有限公司</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纳税人识别号：91420000420005481E</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地址、电话：武汉市武昌区中南路16号 027-87257736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开户行及账号：招行武汉水果湖支行 127902966210902</w:t>
      </w:r>
    </w:p>
    <w:p>
      <w:pPr>
        <w:keepNext w:val="0"/>
        <w:keepLines w:val="0"/>
        <w:pageBreakBefore w:val="0"/>
        <w:kinsoku/>
        <w:wordWrap/>
        <w:overflowPunct/>
        <w:topLinePunct w:val="0"/>
        <w:autoSpaceDE/>
        <w:autoSpaceDN/>
        <w:bidi w:val="0"/>
        <w:adjustRightInd/>
        <w:snapToGrid/>
        <w:spacing w:line="560" w:lineRule="exact"/>
        <w:ind w:firstLine="557" w:firstLineChars="198"/>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汇款时请一定备注交款项目为培训费和单位名称。</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请各单位提前与自己公司财务落实培训费发票的类型，并在附件一发票开具确认单中填写开票信息，需开增值税专用发票的单位请注明。</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 xml:space="preserve">    六、</w:t>
      </w:r>
      <w:r>
        <w:rPr>
          <w:rFonts w:hint="eastAsia" w:ascii="仿宋_GB2312" w:hAnsi="仿宋_GB2312" w:eastAsia="仿宋_GB2312" w:cs="仿宋_GB2312"/>
          <w:color w:val="000000"/>
          <w:sz w:val="28"/>
          <w:szCs w:val="28"/>
        </w:rPr>
        <w:t>报名方式</w:t>
      </w:r>
    </w:p>
    <w:p>
      <w:pPr>
        <w:keepNext w:val="0"/>
        <w:keepLines w:val="0"/>
        <w:pageBreakBefore w:val="0"/>
        <w:kinsoku/>
        <w:wordWrap/>
        <w:overflowPunct/>
        <w:topLinePunct w:val="0"/>
        <w:autoSpaceDE/>
        <w:autoSpaceDN/>
        <w:bidi w:val="0"/>
        <w:adjustRightInd/>
        <w:snapToGrid/>
        <w:spacing w:line="560" w:lineRule="exact"/>
        <w:ind w:left="210" w:leftChars="100"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"mailto:填写报名回执表，发送至邮箱%20wm20200701@163.com."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填写报名回执表，发送至邮箱 wm20200701@163.com.</w:t>
      </w:r>
      <w:r>
        <w:rPr>
          <w:rFonts w:hint="eastAsia" w:ascii="仿宋_GB2312" w:hAnsi="仿宋_GB2312" w:eastAsia="仿宋_GB2312" w:cs="仿宋_GB2312"/>
          <w:sz w:val="28"/>
          <w:szCs w:val="28"/>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七、其他注意事项：</w:t>
      </w:r>
    </w:p>
    <w:p>
      <w:pPr>
        <w:keepNext w:val="0"/>
        <w:keepLines w:val="0"/>
        <w:pageBreakBefore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1.建议提前调试手机到收看正常状态。</w:t>
      </w:r>
    </w:p>
    <w:p>
      <w:pPr>
        <w:keepNext w:val="0"/>
        <w:keepLines w:val="0"/>
        <w:pageBreakBefore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2.预约的实验实操和考试按培训中心的安排进行。</w:t>
      </w:r>
    </w:p>
    <w:p>
      <w:pPr>
        <w:keepNext w:val="0"/>
        <w:keepLines w:val="0"/>
        <w:pageBreakBefore w:val="0"/>
        <w:kinsoku/>
        <w:wordWrap/>
        <w:overflowPunct/>
        <w:topLinePunct w:val="0"/>
        <w:autoSpaceDE/>
        <w:autoSpaceDN/>
        <w:bidi w:val="0"/>
        <w:adjustRightInd/>
        <w:snapToGrid/>
        <w:spacing w:line="560" w:lineRule="exact"/>
        <w:ind w:left="42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3.参加培训的新学员，请在考试当天携带2寸近期彩色免冠照2张和身份证复印件1份。</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八、联系方式：</w:t>
      </w:r>
    </w:p>
    <w:p>
      <w:pPr>
        <w:keepNext w:val="0"/>
        <w:keepLines w:val="0"/>
        <w:pageBreakBefore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联系人：黄米兰  手机：15071125996 </w:t>
      </w:r>
    </w:p>
    <w:p>
      <w:pPr>
        <w:keepNext w:val="0"/>
        <w:keepLines w:val="0"/>
        <w:pageBreakBefore w:val="0"/>
        <w:kinsoku/>
        <w:wordWrap/>
        <w:overflowPunct/>
        <w:topLinePunct w:val="0"/>
        <w:autoSpaceDE/>
        <w:autoSpaceDN/>
        <w:bidi w:val="0"/>
        <w:adjustRightInd/>
        <w:snapToGrid/>
        <w:spacing w:line="560" w:lineRule="exact"/>
        <w:ind w:firstLine="1960" w:firstLineChars="7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rPr>
        <w:t>王  敏  手机：13871504258</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附件：报名登记回执表</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58240" behindDoc="1" locked="0" layoutInCell="1" allowOverlap="1">
            <wp:simplePos x="0" y="0"/>
            <wp:positionH relativeFrom="column">
              <wp:posOffset>2203450</wp:posOffset>
            </wp:positionH>
            <wp:positionV relativeFrom="paragraph">
              <wp:posOffset>264795</wp:posOffset>
            </wp:positionV>
            <wp:extent cx="1524000" cy="1524000"/>
            <wp:effectExtent l="0" t="0" r="0" b="0"/>
            <wp:wrapNone/>
            <wp:docPr id="1" name="图片 1" descr="建筑检测分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筑检测分会2"/>
                    <pic:cNvPicPr>
                      <a:picLocks noChangeAspect="1"/>
                    </pic:cNvPicPr>
                  </pic:nvPicPr>
                  <pic:blipFill>
                    <a:blip r:embed="rId8"/>
                    <a:stretch>
                      <a:fillRect/>
                    </a:stretch>
                  </pic:blipFill>
                  <pic:spPr>
                    <a:xfrm>
                      <a:off x="0" y="0"/>
                      <a:ext cx="1524000" cy="152400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武汉建筑业协会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湖北省建筑科学研究设计院股份有限公司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2021年1月29日</w:t>
      </w:r>
    </w:p>
    <w:p>
      <w:pPr>
        <w:jc w:val="center"/>
        <w:rPr>
          <w:rFonts w:hint="eastAsia" w:ascii="仿宋_GB2312" w:hAnsi="仿宋_GB2312" w:eastAsia="仿宋_GB2312" w:cs="仿宋_GB2312"/>
          <w:sz w:val="28"/>
          <w:szCs w:val="28"/>
        </w:rPr>
      </w:pPr>
    </w:p>
    <w:p>
      <w:pPr>
        <w:spacing w:line="480" w:lineRule="exact"/>
        <w:rPr>
          <w:rFonts w:ascii="仿宋_GB2312" w:hAnsi="仿宋_GB2312" w:eastAsia="仿宋_GB2312" w:cs="仿宋_GB2312"/>
          <w:b/>
          <w:bCs/>
          <w:kern w:val="0"/>
          <w:sz w:val="28"/>
          <w:szCs w:val="28"/>
        </w:rPr>
      </w:pPr>
      <w:bookmarkStart w:id="0" w:name="_GoBack"/>
      <w:bookmarkEnd w:id="0"/>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spacing w:line="480" w:lineRule="exact"/>
        <w:rPr>
          <w:rFonts w:ascii="仿宋_GB2312" w:hAnsi="仿宋_GB2312" w:eastAsia="仿宋_GB2312" w:cs="仿宋_GB2312"/>
          <w:b/>
          <w:bCs/>
          <w:kern w:val="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br w:type="page"/>
      </w:r>
    </w:p>
    <w:p>
      <w:pP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附件：</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报名登记回执表</w:t>
      </w:r>
    </w:p>
    <w:tbl>
      <w:tblPr>
        <w:tblStyle w:val="5"/>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810"/>
        <w:gridCol w:w="2771"/>
        <w:gridCol w:w="1251"/>
        <w:gridCol w:w="1193"/>
        <w:gridCol w:w="1275"/>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1504" w:type="dxa"/>
            <w:vAlign w:val="center"/>
          </w:tcPr>
          <w:p>
            <w:pPr>
              <w:spacing w:line="480" w:lineRule="exact"/>
              <w:jc w:val="center"/>
              <w:rPr>
                <w:rFonts w:hint="eastAsia" w:ascii="仿宋" w:hAnsi="仿宋" w:eastAsia="仿宋" w:cs="仿宋"/>
                <w:b/>
                <w:sz w:val="24"/>
                <w:szCs w:val="24"/>
                <w:shd w:val="clear" w:color="FFFFFF" w:fill="D9D9D9"/>
              </w:rPr>
            </w:pPr>
            <w:r>
              <w:rPr>
                <w:rFonts w:hint="eastAsia" w:ascii="仿宋" w:hAnsi="仿宋" w:eastAsia="仿宋" w:cs="仿宋"/>
                <w:sz w:val="24"/>
                <w:szCs w:val="24"/>
              </w:rPr>
              <w:t>单位名称</w:t>
            </w:r>
          </w:p>
        </w:tc>
        <w:tc>
          <w:tcPr>
            <w:tcW w:w="8661" w:type="dxa"/>
            <w:gridSpan w:val="6"/>
            <w:vAlign w:val="center"/>
          </w:tcPr>
          <w:p>
            <w:pPr>
              <w:spacing w:line="48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504" w:type="dxa"/>
            <w:vAlign w:val="center"/>
          </w:tcPr>
          <w:p>
            <w:pPr>
              <w:spacing w:line="480" w:lineRule="exact"/>
              <w:jc w:val="center"/>
              <w:rPr>
                <w:rFonts w:hint="eastAsia" w:ascii="仿宋" w:hAnsi="仿宋" w:eastAsia="仿宋" w:cs="仿宋"/>
                <w:b/>
                <w:sz w:val="24"/>
                <w:szCs w:val="24"/>
                <w:shd w:val="clear" w:color="FFFFFF" w:fill="D9D9D9"/>
              </w:rPr>
            </w:pPr>
            <w:r>
              <w:rPr>
                <w:rFonts w:hint="eastAsia" w:ascii="仿宋" w:hAnsi="仿宋" w:eastAsia="仿宋" w:cs="仿宋"/>
                <w:sz w:val="24"/>
                <w:szCs w:val="24"/>
              </w:rPr>
              <w:t>邮寄地址</w:t>
            </w:r>
          </w:p>
        </w:tc>
        <w:tc>
          <w:tcPr>
            <w:tcW w:w="3581" w:type="dxa"/>
            <w:gridSpan w:val="2"/>
            <w:vAlign w:val="center"/>
          </w:tcPr>
          <w:p>
            <w:pPr>
              <w:spacing w:line="480" w:lineRule="exact"/>
              <w:jc w:val="center"/>
              <w:rPr>
                <w:rFonts w:hint="eastAsia" w:ascii="仿宋" w:hAnsi="仿宋" w:eastAsia="仿宋" w:cs="仿宋"/>
                <w:b/>
                <w:sz w:val="24"/>
                <w:szCs w:val="24"/>
              </w:rPr>
            </w:pPr>
          </w:p>
        </w:tc>
        <w:tc>
          <w:tcPr>
            <w:tcW w:w="1251"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邮编</w:t>
            </w:r>
          </w:p>
        </w:tc>
        <w:tc>
          <w:tcPr>
            <w:tcW w:w="3829" w:type="dxa"/>
            <w:gridSpan w:val="3"/>
            <w:vAlign w:val="center"/>
          </w:tcPr>
          <w:p>
            <w:pPr>
              <w:spacing w:line="48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504"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联系人</w:t>
            </w:r>
          </w:p>
        </w:tc>
        <w:tc>
          <w:tcPr>
            <w:tcW w:w="3581" w:type="dxa"/>
            <w:gridSpan w:val="2"/>
            <w:vAlign w:val="center"/>
          </w:tcPr>
          <w:p>
            <w:pPr>
              <w:spacing w:line="480" w:lineRule="exact"/>
              <w:jc w:val="center"/>
              <w:rPr>
                <w:rFonts w:hint="eastAsia" w:ascii="仿宋" w:hAnsi="仿宋" w:eastAsia="仿宋" w:cs="仿宋"/>
                <w:b/>
                <w:sz w:val="24"/>
                <w:szCs w:val="24"/>
              </w:rPr>
            </w:pPr>
          </w:p>
        </w:tc>
        <w:tc>
          <w:tcPr>
            <w:tcW w:w="1251"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职务</w:t>
            </w:r>
          </w:p>
        </w:tc>
        <w:tc>
          <w:tcPr>
            <w:tcW w:w="3829" w:type="dxa"/>
            <w:gridSpan w:val="3"/>
            <w:vAlign w:val="center"/>
          </w:tcPr>
          <w:p>
            <w:pPr>
              <w:spacing w:line="48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50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手  机</w:t>
            </w:r>
          </w:p>
        </w:tc>
        <w:tc>
          <w:tcPr>
            <w:tcW w:w="3581" w:type="dxa"/>
            <w:gridSpan w:val="2"/>
            <w:vAlign w:val="center"/>
          </w:tcPr>
          <w:p>
            <w:pPr>
              <w:spacing w:line="480" w:lineRule="exact"/>
              <w:jc w:val="center"/>
              <w:rPr>
                <w:rFonts w:hint="eastAsia" w:ascii="仿宋" w:hAnsi="仿宋" w:eastAsia="仿宋" w:cs="仿宋"/>
                <w:b/>
                <w:sz w:val="24"/>
                <w:szCs w:val="24"/>
              </w:rPr>
            </w:pPr>
          </w:p>
        </w:tc>
        <w:tc>
          <w:tcPr>
            <w:tcW w:w="1251"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邮箱</w:t>
            </w:r>
          </w:p>
        </w:tc>
        <w:tc>
          <w:tcPr>
            <w:tcW w:w="3829" w:type="dxa"/>
            <w:gridSpan w:val="3"/>
            <w:vAlign w:val="center"/>
          </w:tcPr>
          <w:p>
            <w:pPr>
              <w:spacing w:line="48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50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参训人员</w:t>
            </w:r>
          </w:p>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姓  名</w:t>
            </w:r>
          </w:p>
        </w:tc>
        <w:tc>
          <w:tcPr>
            <w:tcW w:w="810"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性别</w:t>
            </w:r>
          </w:p>
        </w:tc>
        <w:tc>
          <w:tcPr>
            <w:tcW w:w="2771"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1251"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手机号</w:t>
            </w:r>
          </w:p>
        </w:tc>
        <w:tc>
          <w:tcPr>
            <w:tcW w:w="1193"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职务</w:t>
            </w:r>
          </w:p>
        </w:tc>
        <w:tc>
          <w:tcPr>
            <w:tcW w:w="1275"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sz w:val="24"/>
                <w:szCs w:val="24"/>
              </w:rPr>
              <w:t>职称</w:t>
            </w:r>
          </w:p>
        </w:tc>
        <w:tc>
          <w:tcPr>
            <w:tcW w:w="1361" w:type="dxa"/>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课程编号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504" w:type="dxa"/>
            <w:vAlign w:val="center"/>
          </w:tcPr>
          <w:p>
            <w:pPr>
              <w:spacing w:line="480" w:lineRule="exact"/>
              <w:jc w:val="center"/>
              <w:rPr>
                <w:rFonts w:hint="eastAsia" w:ascii="仿宋" w:hAnsi="仿宋" w:eastAsia="仿宋" w:cs="仿宋"/>
                <w:color w:val="3A608B"/>
                <w:sz w:val="24"/>
                <w:szCs w:val="24"/>
              </w:rPr>
            </w:pPr>
          </w:p>
        </w:tc>
        <w:tc>
          <w:tcPr>
            <w:tcW w:w="810" w:type="dxa"/>
            <w:vAlign w:val="center"/>
          </w:tcPr>
          <w:p>
            <w:pPr>
              <w:spacing w:line="480" w:lineRule="exact"/>
              <w:jc w:val="center"/>
              <w:rPr>
                <w:rFonts w:hint="eastAsia" w:ascii="仿宋" w:hAnsi="仿宋" w:eastAsia="仿宋" w:cs="仿宋"/>
                <w:color w:val="3A608B"/>
                <w:sz w:val="24"/>
                <w:szCs w:val="24"/>
              </w:rPr>
            </w:pPr>
          </w:p>
        </w:tc>
        <w:tc>
          <w:tcPr>
            <w:tcW w:w="2771" w:type="dxa"/>
            <w:vAlign w:val="center"/>
          </w:tcPr>
          <w:p>
            <w:pPr>
              <w:spacing w:line="480" w:lineRule="exact"/>
              <w:jc w:val="center"/>
              <w:rPr>
                <w:rFonts w:hint="eastAsia" w:ascii="仿宋" w:hAnsi="仿宋" w:eastAsia="仿宋" w:cs="仿宋"/>
                <w:color w:val="3A608B"/>
                <w:sz w:val="24"/>
                <w:szCs w:val="24"/>
              </w:rPr>
            </w:pPr>
          </w:p>
        </w:tc>
        <w:tc>
          <w:tcPr>
            <w:tcW w:w="1251" w:type="dxa"/>
            <w:vAlign w:val="center"/>
          </w:tcPr>
          <w:p>
            <w:pPr>
              <w:spacing w:line="480" w:lineRule="exact"/>
              <w:jc w:val="center"/>
              <w:rPr>
                <w:rFonts w:hint="eastAsia" w:ascii="仿宋" w:hAnsi="仿宋" w:eastAsia="仿宋" w:cs="仿宋"/>
                <w:color w:val="3A608B"/>
                <w:sz w:val="24"/>
                <w:szCs w:val="24"/>
              </w:rPr>
            </w:pPr>
          </w:p>
        </w:tc>
        <w:tc>
          <w:tcPr>
            <w:tcW w:w="1193" w:type="dxa"/>
            <w:vAlign w:val="center"/>
          </w:tcPr>
          <w:p>
            <w:pPr>
              <w:spacing w:line="480" w:lineRule="exact"/>
              <w:jc w:val="center"/>
              <w:rPr>
                <w:rFonts w:hint="eastAsia" w:ascii="仿宋" w:hAnsi="仿宋" w:eastAsia="仿宋" w:cs="仿宋"/>
                <w:color w:val="3A608B"/>
                <w:sz w:val="24"/>
                <w:szCs w:val="24"/>
              </w:rPr>
            </w:pPr>
          </w:p>
        </w:tc>
        <w:tc>
          <w:tcPr>
            <w:tcW w:w="1275" w:type="dxa"/>
            <w:vAlign w:val="center"/>
          </w:tcPr>
          <w:p>
            <w:pPr>
              <w:spacing w:line="480" w:lineRule="exact"/>
              <w:jc w:val="center"/>
              <w:rPr>
                <w:rFonts w:hint="eastAsia" w:ascii="仿宋" w:hAnsi="仿宋" w:eastAsia="仿宋" w:cs="仿宋"/>
                <w:color w:val="3A608B"/>
                <w:sz w:val="24"/>
                <w:szCs w:val="24"/>
              </w:rPr>
            </w:pPr>
          </w:p>
        </w:tc>
        <w:tc>
          <w:tcPr>
            <w:tcW w:w="1361" w:type="dxa"/>
            <w:vAlign w:val="center"/>
          </w:tcPr>
          <w:p>
            <w:pPr>
              <w:spacing w:line="480" w:lineRule="exact"/>
              <w:jc w:val="center"/>
              <w:rPr>
                <w:rFonts w:hint="eastAsia" w:ascii="仿宋" w:hAnsi="仿宋" w:eastAsia="仿宋" w:cs="仿宋"/>
                <w:color w:val="3A608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504" w:type="dxa"/>
            <w:vAlign w:val="center"/>
          </w:tcPr>
          <w:p>
            <w:pPr>
              <w:spacing w:line="480" w:lineRule="exact"/>
              <w:jc w:val="center"/>
              <w:rPr>
                <w:rFonts w:hint="eastAsia" w:ascii="仿宋" w:hAnsi="仿宋" w:eastAsia="仿宋" w:cs="仿宋"/>
                <w:color w:val="3A608B"/>
                <w:sz w:val="24"/>
                <w:szCs w:val="24"/>
              </w:rPr>
            </w:pPr>
          </w:p>
        </w:tc>
        <w:tc>
          <w:tcPr>
            <w:tcW w:w="810" w:type="dxa"/>
            <w:vAlign w:val="center"/>
          </w:tcPr>
          <w:p>
            <w:pPr>
              <w:spacing w:line="480" w:lineRule="exact"/>
              <w:jc w:val="center"/>
              <w:rPr>
                <w:rFonts w:hint="eastAsia" w:ascii="仿宋" w:hAnsi="仿宋" w:eastAsia="仿宋" w:cs="仿宋"/>
                <w:color w:val="3A608B"/>
                <w:sz w:val="24"/>
                <w:szCs w:val="24"/>
              </w:rPr>
            </w:pPr>
          </w:p>
        </w:tc>
        <w:tc>
          <w:tcPr>
            <w:tcW w:w="2771" w:type="dxa"/>
            <w:vAlign w:val="center"/>
          </w:tcPr>
          <w:p>
            <w:pPr>
              <w:spacing w:line="480" w:lineRule="exact"/>
              <w:jc w:val="center"/>
              <w:rPr>
                <w:rFonts w:hint="eastAsia" w:ascii="仿宋" w:hAnsi="仿宋" w:eastAsia="仿宋" w:cs="仿宋"/>
                <w:color w:val="3A608B"/>
                <w:sz w:val="24"/>
                <w:szCs w:val="24"/>
              </w:rPr>
            </w:pPr>
          </w:p>
        </w:tc>
        <w:tc>
          <w:tcPr>
            <w:tcW w:w="1251" w:type="dxa"/>
            <w:vAlign w:val="center"/>
          </w:tcPr>
          <w:p>
            <w:pPr>
              <w:spacing w:line="480" w:lineRule="exact"/>
              <w:jc w:val="center"/>
              <w:rPr>
                <w:rFonts w:hint="eastAsia" w:ascii="仿宋" w:hAnsi="仿宋" w:eastAsia="仿宋" w:cs="仿宋"/>
                <w:color w:val="3A608B"/>
                <w:sz w:val="24"/>
                <w:szCs w:val="24"/>
              </w:rPr>
            </w:pPr>
          </w:p>
        </w:tc>
        <w:tc>
          <w:tcPr>
            <w:tcW w:w="1193" w:type="dxa"/>
            <w:vAlign w:val="center"/>
          </w:tcPr>
          <w:p>
            <w:pPr>
              <w:spacing w:line="480" w:lineRule="exact"/>
              <w:jc w:val="center"/>
              <w:rPr>
                <w:rFonts w:hint="eastAsia" w:ascii="仿宋" w:hAnsi="仿宋" w:eastAsia="仿宋" w:cs="仿宋"/>
                <w:color w:val="3A608B"/>
                <w:sz w:val="24"/>
                <w:szCs w:val="24"/>
              </w:rPr>
            </w:pPr>
          </w:p>
        </w:tc>
        <w:tc>
          <w:tcPr>
            <w:tcW w:w="1275" w:type="dxa"/>
            <w:vAlign w:val="center"/>
          </w:tcPr>
          <w:p>
            <w:pPr>
              <w:spacing w:line="480" w:lineRule="exact"/>
              <w:jc w:val="center"/>
              <w:rPr>
                <w:rFonts w:hint="eastAsia" w:ascii="仿宋" w:hAnsi="仿宋" w:eastAsia="仿宋" w:cs="仿宋"/>
                <w:color w:val="3A608B"/>
                <w:sz w:val="24"/>
                <w:szCs w:val="24"/>
              </w:rPr>
            </w:pPr>
          </w:p>
        </w:tc>
        <w:tc>
          <w:tcPr>
            <w:tcW w:w="1361" w:type="dxa"/>
            <w:vAlign w:val="center"/>
          </w:tcPr>
          <w:p>
            <w:pPr>
              <w:spacing w:line="480" w:lineRule="exact"/>
              <w:jc w:val="center"/>
              <w:rPr>
                <w:rFonts w:hint="eastAsia" w:ascii="仿宋" w:hAnsi="仿宋" w:eastAsia="仿宋" w:cs="仿宋"/>
                <w:color w:val="3A608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504" w:type="dxa"/>
            <w:vAlign w:val="center"/>
          </w:tcPr>
          <w:p>
            <w:pPr>
              <w:spacing w:line="480" w:lineRule="exact"/>
              <w:jc w:val="center"/>
              <w:rPr>
                <w:rFonts w:hint="eastAsia" w:ascii="仿宋" w:hAnsi="仿宋" w:eastAsia="仿宋" w:cs="仿宋"/>
                <w:color w:val="3A608B"/>
                <w:sz w:val="24"/>
                <w:szCs w:val="24"/>
              </w:rPr>
            </w:pPr>
          </w:p>
        </w:tc>
        <w:tc>
          <w:tcPr>
            <w:tcW w:w="810" w:type="dxa"/>
            <w:vAlign w:val="center"/>
          </w:tcPr>
          <w:p>
            <w:pPr>
              <w:spacing w:line="480" w:lineRule="exact"/>
              <w:jc w:val="center"/>
              <w:rPr>
                <w:rFonts w:hint="eastAsia" w:ascii="仿宋" w:hAnsi="仿宋" w:eastAsia="仿宋" w:cs="仿宋"/>
                <w:color w:val="3A608B"/>
                <w:sz w:val="24"/>
                <w:szCs w:val="24"/>
              </w:rPr>
            </w:pPr>
          </w:p>
        </w:tc>
        <w:tc>
          <w:tcPr>
            <w:tcW w:w="2771" w:type="dxa"/>
            <w:vAlign w:val="center"/>
          </w:tcPr>
          <w:p>
            <w:pPr>
              <w:spacing w:line="480" w:lineRule="exact"/>
              <w:jc w:val="center"/>
              <w:rPr>
                <w:rFonts w:hint="eastAsia" w:ascii="仿宋" w:hAnsi="仿宋" w:eastAsia="仿宋" w:cs="仿宋"/>
                <w:color w:val="3A608B"/>
                <w:sz w:val="24"/>
                <w:szCs w:val="24"/>
              </w:rPr>
            </w:pPr>
          </w:p>
        </w:tc>
        <w:tc>
          <w:tcPr>
            <w:tcW w:w="1251" w:type="dxa"/>
            <w:vAlign w:val="center"/>
          </w:tcPr>
          <w:p>
            <w:pPr>
              <w:spacing w:line="480" w:lineRule="exact"/>
              <w:jc w:val="center"/>
              <w:rPr>
                <w:rFonts w:hint="eastAsia" w:ascii="仿宋" w:hAnsi="仿宋" w:eastAsia="仿宋" w:cs="仿宋"/>
                <w:color w:val="3A608B"/>
                <w:sz w:val="24"/>
                <w:szCs w:val="24"/>
              </w:rPr>
            </w:pPr>
          </w:p>
        </w:tc>
        <w:tc>
          <w:tcPr>
            <w:tcW w:w="1193" w:type="dxa"/>
            <w:vAlign w:val="center"/>
          </w:tcPr>
          <w:p>
            <w:pPr>
              <w:spacing w:line="480" w:lineRule="exact"/>
              <w:jc w:val="center"/>
              <w:rPr>
                <w:rFonts w:hint="eastAsia" w:ascii="仿宋" w:hAnsi="仿宋" w:eastAsia="仿宋" w:cs="仿宋"/>
                <w:color w:val="3A608B"/>
                <w:sz w:val="24"/>
                <w:szCs w:val="24"/>
              </w:rPr>
            </w:pPr>
          </w:p>
        </w:tc>
        <w:tc>
          <w:tcPr>
            <w:tcW w:w="1275" w:type="dxa"/>
            <w:vAlign w:val="center"/>
          </w:tcPr>
          <w:p>
            <w:pPr>
              <w:spacing w:line="480" w:lineRule="exact"/>
              <w:jc w:val="center"/>
              <w:rPr>
                <w:rFonts w:hint="eastAsia" w:ascii="仿宋" w:hAnsi="仿宋" w:eastAsia="仿宋" w:cs="仿宋"/>
                <w:color w:val="3A608B"/>
                <w:sz w:val="24"/>
                <w:szCs w:val="24"/>
              </w:rPr>
            </w:pPr>
          </w:p>
        </w:tc>
        <w:tc>
          <w:tcPr>
            <w:tcW w:w="1361" w:type="dxa"/>
            <w:vAlign w:val="center"/>
          </w:tcPr>
          <w:p>
            <w:pPr>
              <w:spacing w:line="480" w:lineRule="exact"/>
              <w:jc w:val="center"/>
              <w:rPr>
                <w:rFonts w:hint="eastAsia" w:ascii="仿宋" w:hAnsi="仿宋" w:eastAsia="仿宋" w:cs="仿宋"/>
                <w:color w:val="3A608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504" w:type="dxa"/>
            <w:vAlign w:val="center"/>
          </w:tcPr>
          <w:p>
            <w:pPr>
              <w:spacing w:line="480" w:lineRule="exact"/>
              <w:jc w:val="center"/>
              <w:rPr>
                <w:rFonts w:hint="eastAsia" w:ascii="仿宋" w:hAnsi="仿宋" w:eastAsia="仿宋" w:cs="仿宋"/>
                <w:color w:val="3A608B"/>
                <w:sz w:val="24"/>
                <w:szCs w:val="24"/>
              </w:rPr>
            </w:pPr>
          </w:p>
        </w:tc>
        <w:tc>
          <w:tcPr>
            <w:tcW w:w="810" w:type="dxa"/>
            <w:vAlign w:val="center"/>
          </w:tcPr>
          <w:p>
            <w:pPr>
              <w:spacing w:line="480" w:lineRule="exact"/>
              <w:jc w:val="center"/>
              <w:rPr>
                <w:rFonts w:hint="eastAsia" w:ascii="仿宋" w:hAnsi="仿宋" w:eastAsia="仿宋" w:cs="仿宋"/>
                <w:color w:val="3A608B"/>
                <w:sz w:val="24"/>
                <w:szCs w:val="24"/>
              </w:rPr>
            </w:pPr>
          </w:p>
        </w:tc>
        <w:tc>
          <w:tcPr>
            <w:tcW w:w="2771" w:type="dxa"/>
            <w:vAlign w:val="center"/>
          </w:tcPr>
          <w:p>
            <w:pPr>
              <w:spacing w:line="480" w:lineRule="exact"/>
              <w:jc w:val="center"/>
              <w:rPr>
                <w:rFonts w:hint="eastAsia" w:ascii="仿宋" w:hAnsi="仿宋" w:eastAsia="仿宋" w:cs="仿宋"/>
                <w:color w:val="3A608B"/>
                <w:sz w:val="24"/>
                <w:szCs w:val="24"/>
              </w:rPr>
            </w:pPr>
          </w:p>
        </w:tc>
        <w:tc>
          <w:tcPr>
            <w:tcW w:w="1251" w:type="dxa"/>
            <w:vAlign w:val="center"/>
          </w:tcPr>
          <w:p>
            <w:pPr>
              <w:spacing w:line="480" w:lineRule="exact"/>
              <w:jc w:val="center"/>
              <w:rPr>
                <w:rFonts w:hint="eastAsia" w:ascii="仿宋" w:hAnsi="仿宋" w:eastAsia="仿宋" w:cs="仿宋"/>
                <w:color w:val="3A608B"/>
                <w:sz w:val="24"/>
                <w:szCs w:val="24"/>
              </w:rPr>
            </w:pPr>
          </w:p>
        </w:tc>
        <w:tc>
          <w:tcPr>
            <w:tcW w:w="1193" w:type="dxa"/>
            <w:vAlign w:val="center"/>
          </w:tcPr>
          <w:p>
            <w:pPr>
              <w:spacing w:line="480" w:lineRule="exact"/>
              <w:jc w:val="center"/>
              <w:rPr>
                <w:rFonts w:hint="eastAsia" w:ascii="仿宋" w:hAnsi="仿宋" w:eastAsia="仿宋" w:cs="仿宋"/>
                <w:color w:val="3A608B"/>
                <w:sz w:val="24"/>
                <w:szCs w:val="24"/>
              </w:rPr>
            </w:pPr>
          </w:p>
        </w:tc>
        <w:tc>
          <w:tcPr>
            <w:tcW w:w="1275" w:type="dxa"/>
            <w:vAlign w:val="center"/>
          </w:tcPr>
          <w:p>
            <w:pPr>
              <w:spacing w:line="480" w:lineRule="exact"/>
              <w:jc w:val="center"/>
              <w:rPr>
                <w:rFonts w:hint="eastAsia" w:ascii="仿宋" w:hAnsi="仿宋" w:eastAsia="仿宋" w:cs="仿宋"/>
                <w:color w:val="3A608B"/>
                <w:sz w:val="24"/>
                <w:szCs w:val="24"/>
              </w:rPr>
            </w:pPr>
          </w:p>
        </w:tc>
        <w:tc>
          <w:tcPr>
            <w:tcW w:w="1361" w:type="dxa"/>
            <w:vAlign w:val="center"/>
          </w:tcPr>
          <w:p>
            <w:pPr>
              <w:spacing w:line="480" w:lineRule="exact"/>
              <w:jc w:val="center"/>
              <w:rPr>
                <w:rFonts w:hint="eastAsia" w:ascii="仿宋" w:hAnsi="仿宋" w:eastAsia="仿宋" w:cs="仿宋"/>
                <w:color w:val="3A608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504" w:type="dxa"/>
            <w:vAlign w:val="center"/>
          </w:tcPr>
          <w:p>
            <w:pPr>
              <w:spacing w:line="480" w:lineRule="exact"/>
              <w:jc w:val="center"/>
              <w:rPr>
                <w:rFonts w:hint="eastAsia" w:ascii="仿宋" w:hAnsi="仿宋" w:eastAsia="仿宋" w:cs="仿宋"/>
                <w:color w:val="3A608B"/>
                <w:sz w:val="24"/>
                <w:szCs w:val="24"/>
              </w:rPr>
            </w:pPr>
          </w:p>
        </w:tc>
        <w:tc>
          <w:tcPr>
            <w:tcW w:w="810" w:type="dxa"/>
            <w:vAlign w:val="center"/>
          </w:tcPr>
          <w:p>
            <w:pPr>
              <w:spacing w:line="480" w:lineRule="exact"/>
              <w:jc w:val="center"/>
              <w:rPr>
                <w:rFonts w:hint="eastAsia" w:ascii="仿宋" w:hAnsi="仿宋" w:eastAsia="仿宋" w:cs="仿宋"/>
                <w:color w:val="3A608B"/>
                <w:sz w:val="24"/>
                <w:szCs w:val="24"/>
              </w:rPr>
            </w:pPr>
          </w:p>
        </w:tc>
        <w:tc>
          <w:tcPr>
            <w:tcW w:w="2771" w:type="dxa"/>
            <w:vAlign w:val="center"/>
          </w:tcPr>
          <w:p>
            <w:pPr>
              <w:spacing w:line="480" w:lineRule="exact"/>
              <w:jc w:val="center"/>
              <w:rPr>
                <w:rFonts w:hint="eastAsia" w:ascii="仿宋" w:hAnsi="仿宋" w:eastAsia="仿宋" w:cs="仿宋"/>
                <w:color w:val="3A608B"/>
                <w:sz w:val="24"/>
                <w:szCs w:val="24"/>
              </w:rPr>
            </w:pPr>
          </w:p>
        </w:tc>
        <w:tc>
          <w:tcPr>
            <w:tcW w:w="1251" w:type="dxa"/>
            <w:vAlign w:val="center"/>
          </w:tcPr>
          <w:p>
            <w:pPr>
              <w:spacing w:line="480" w:lineRule="exact"/>
              <w:jc w:val="center"/>
              <w:rPr>
                <w:rFonts w:hint="eastAsia" w:ascii="仿宋" w:hAnsi="仿宋" w:eastAsia="仿宋" w:cs="仿宋"/>
                <w:color w:val="3A608B"/>
                <w:sz w:val="24"/>
                <w:szCs w:val="24"/>
              </w:rPr>
            </w:pPr>
          </w:p>
        </w:tc>
        <w:tc>
          <w:tcPr>
            <w:tcW w:w="1193" w:type="dxa"/>
            <w:vAlign w:val="center"/>
          </w:tcPr>
          <w:p>
            <w:pPr>
              <w:spacing w:line="480" w:lineRule="exact"/>
              <w:jc w:val="center"/>
              <w:rPr>
                <w:rFonts w:hint="eastAsia" w:ascii="仿宋" w:hAnsi="仿宋" w:eastAsia="仿宋" w:cs="仿宋"/>
                <w:color w:val="3A608B"/>
                <w:sz w:val="24"/>
                <w:szCs w:val="24"/>
              </w:rPr>
            </w:pPr>
          </w:p>
        </w:tc>
        <w:tc>
          <w:tcPr>
            <w:tcW w:w="1275" w:type="dxa"/>
            <w:vAlign w:val="center"/>
          </w:tcPr>
          <w:p>
            <w:pPr>
              <w:spacing w:line="480" w:lineRule="exact"/>
              <w:jc w:val="center"/>
              <w:rPr>
                <w:rFonts w:hint="eastAsia" w:ascii="仿宋" w:hAnsi="仿宋" w:eastAsia="仿宋" w:cs="仿宋"/>
                <w:color w:val="3A608B"/>
                <w:sz w:val="24"/>
                <w:szCs w:val="24"/>
              </w:rPr>
            </w:pPr>
          </w:p>
        </w:tc>
        <w:tc>
          <w:tcPr>
            <w:tcW w:w="1361" w:type="dxa"/>
            <w:vAlign w:val="center"/>
          </w:tcPr>
          <w:p>
            <w:pPr>
              <w:spacing w:line="480" w:lineRule="exact"/>
              <w:jc w:val="center"/>
              <w:rPr>
                <w:rFonts w:hint="eastAsia" w:ascii="仿宋" w:hAnsi="仿宋" w:eastAsia="仿宋" w:cs="仿宋"/>
                <w:color w:val="3A608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504" w:type="dxa"/>
            <w:vAlign w:val="center"/>
          </w:tcPr>
          <w:p>
            <w:pPr>
              <w:spacing w:line="480" w:lineRule="exact"/>
              <w:jc w:val="center"/>
              <w:rPr>
                <w:rFonts w:hint="eastAsia" w:ascii="仿宋" w:hAnsi="仿宋" w:eastAsia="仿宋" w:cs="仿宋"/>
                <w:color w:val="3A608B"/>
                <w:sz w:val="24"/>
                <w:szCs w:val="24"/>
              </w:rPr>
            </w:pPr>
          </w:p>
        </w:tc>
        <w:tc>
          <w:tcPr>
            <w:tcW w:w="810" w:type="dxa"/>
            <w:vAlign w:val="center"/>
          </w:tcPr>
          <w:p>
            <w:pPr>
              <w:spacing w:line="480" w:lineRule="exact"/>
              <w:jc w:val="center"/>
              <w:rPr>
                <w:rFonts w:hint="eastAsia" w:ascii="仿宋" w:hAnsi="仿宋" w:eastAsia="仿宋" w:cs="仿宋"/>
                <w:color w:val="3A608B"/>
                <w:sz w:val="24"/>
                <w:szCs w:val="24"/>
              </w:rPr>
            </w:pPr>
          </w:p>
        </w:tc>
        <w:tc>
          <w:tcPr>
            <w:tcW w:w="2771" w:type="dxa"/>
            <w:vAlign w:val="center"/>
          </w:tcPr>
          <w:p>
            <w:pPr>
              <w:spacing w:line="480" w:lineRule="exact"/>
              <w:jc w:val="center"/>
              <w:rPr>
                <w:rFonts w:hint="eastAsia" w:ascii="仿宋" w:hAnsi="仿宋" w:eastAsia="仿宋" w:cs="仿宋"/>
                <w:color w:val="3A608B"/>
                <w:sz w:val="24"/>
                <w:szCs w:val="24"/>
              </w:rPr>
            </w:pPr>
          </w:p>
        </w:tc>
        <w:tc>
          <w:tcPr>
            <w:tcW w:w="1251" w:type="dxa"/>
            <w:vAlign w:val="center"/>
          </w:tcPr>
          <w:p>
            <w:pPr>
              <w:spacing w:line="480" w:lineRule="exact"/>
              <w:jc w:val="center"/>
              <w:rPr>
                <w:rFonts w:hint="eastAsia" w:ascii="仿宋" w:hAnsi="仿宋" w:eastAsia="仿宋" w:cs="仿宋"/>
                <w:color w:val="3A608B"/>
                <w:sz w:val="24"/>
                <w:szCs w:val="24"/>
              </w:rPr>
            </w:pPr>
          </w:p>
        </w:tc>
        <w:tc>
          <w:tcPr>
            <w:tcW w:w="1193" w:type="dxa"/>
            <w:vAlign w:val="center"/>
          </w:tcPr>
          <w:p>
            <w:pPr>
              <w:spacing w:line="480" w:lineRule="exact"/>
              <w:jc w:val="center"/>
              <w:rPr>
                <w:rFonts w:hint="eastAsia" w:ascii="仿宋" w:hAnsi="仿宋" w:eastAsia="仿宋" w:cs="仿宋"/>
                <w:color w:val="3A608B"/>
                <w:sz w:val="24"/>
                <w:szCs w:val="24"/>
              </w:rPr>
            </w:pPr>
          </w:p>
        </w:tc>
        <w:tc>
          <w:tcPr>
            <w:tcW w:w="1275" w:type="dxa"/>
            <w:vAlign w:val="center"/>
          </w:tcPr>
          <w:p>
            <w:pPr>
              <w:spacing w:line="480" w:lineRule="exact"/>
              <w:jc w:val="center"/>
              <w:rPr>
                <w:rFonts w:hint="eastAsia" w:ascii="仿宋" w:hAnsi="仿宋" w:eastAsia="仿宋" w:cs="仿宋"/>
                <w:color w:val="3A608B"/>
                <w:sz w:val="24"/>
                <w:szCs w:val="24"/>
              </w:rPr>
            </w:pPr>
          </w:p>
        </w:tc>
        <w:tc>
          <w:tcPr>
            <w:tcW w:w="1361" w:type="dxa"/>
            <w:vAlign w:val="center"/>
          </w:tcPr>
          <w:p>
            <w:pPr>
              <w:spacing w:line="480" w:lineRule="exact"/>
              <w:jc w:val="center"/>
              <w:rPr>
                <w:rFonts w:hint="eastAsia" w:ascii="仿宋" w:hAnsi="仿宋" w:eastAsia="仿宋" w:cs="仿宋"/>
                <w:color w:val="3A608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0165" w:type="dxa"/>
            <w:gridSpan w:val="7"/>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参会单位发票开具确认单  发票类型专票（ ） 普票（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504" w:type="dxa"/>
            <w:vMerge w:val="restart"/>
            <w:vAlign w:val="center"/>
          </w:tcPr>
          <w:p>
            <w:pPr>
              <w:spacing w:line="480" w:lineRule="exact"/>
              <w:jc w:val="center"/>
              <w:rPr>
                <w:rFonts w:hint="eastAsia" w:ascii="仿宋" w:hAnsi="仿宋" w:eastAsia="仿宋" w:cs="仿宋"/>
                <w:b/>
                <w:sz w:val="24"/>
                <w:szCs w:val="24"/>
              </w:rPr>
            </w:pPr>
            <w:r>
              <w:rPr>
                <w:rFonts w:hint="eastAsia" w:ascii="仿宋" w:hAnsi="仿宋" w:eastAsia="仿宋" w:cs="仿宋"/>
                <w:b/>
                <w:color w:val="000000"/>
                <w:kern w:val="0"/>
                <w:sz w:val="24"/>
                <w:szCs w:val="24"/>
              </w:rPr>
              <w:t>发票信息</w:t>
            </w:r>
          </w:p>
        </w:tc>
        <w:tc>
          <w:tcPr>
            <w:tcW w:w="8661" w:type="dxa"/>
            <w:gridSpan w:val="6"/>
            <w:vAlign w:val="center"/>
          </w:tcPr>
          <w:p>
            <w:pPr>
              <w:spacing w:line="480" w:lineRule="exact"/>
              <w:rPr>
                <w:rFonts w:hint="eastAsia" w:ascii="仿宋" w:hAnsi="仿宋" w:eastAsia="仿宋" w:cs="仿宋"/>
                <w:b/>
                <w:sz w:val="24"/>
                <w:szCs w:val="24"/>
              </w:rPr>
            </w:pPr>
            <w:r>
              <w:rPr>
                <w:rFonts w:hint="eastAsia" w:ascii="仿宋" w:hAnsi="仿宋" w:eastAsia="仿宋" w:cs="仿宋"/>
                <w:b/>
                <w:bCs/>
                <w:color w:val="000000"/>
                <w:kern w:val="0"/>
                <w:sz w:val="24"/>
                <w:szCs w:val="24"/>
              </w:rPr>
              <w:t>企业名称</w:t>
            </w:r>
            <w:r>
              <w:rPr>
                <w:rFonts w:hint="eastAsia" w:ascii="仿宋" w:hAnsi="仿宋" w:eastAsia="仿宋" w:cs="仿宋"/>
                <w:sz w:val="24"/>
                <w:szCs w:val="24"/>
              </w:rPr>
              <w:t>（请务必准确填写）：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1504" w:type="dxa"/>
            <w:vMerge w:val="continue"/>
            <w:vAlign w:val="center"/>
          </w:tcPr>
          <w:p>
            <w:pPr>
              <w:spacing w:line="480" w:lineRule="exact"/>
              <w:jc w:val="center"/>
              <w:rPr>
                <w:rFonts w:hint="eastAsia" w:ascii="仿宋" w:hAnsi="仿宋" w:eastAsia="仿宋" w:cs="仿宋"/>
                <w:sz w:val="24"/>
                <w:szCs w:val="24"/>
              </w:rPr>
            </w:pPr>
          </w:p>
        </w:tc>
        <w:tc>
          <w:tcPr>
            <w:tcW w:w="8661" w:type="dxa"/>
            <w:gridSpan w:val="6"/>
            <w:vAlign w:val="center"/>
          </w:tcPr>
          <w:p>
            <w:pPr>
              <w:numPr>
                <w:ilvl w:val="0"/>
                <w:numId w:val="3"/>
              </w:numPr>
              <w:spacing w:line="480" w:lineRule="exact"/>
              <w:rPr>
                <w:rFonts w:hint="eastAsia" w:ascii="仿宋" w:hAnsi="仿宋" w:eastAsia="仿宋" w:cs="仿宋"/>
                <w:sz w:val="24"/>
                <w:szCs w:val="24"/>
              </w:rPr>
            </w:pPr>
            <w:r>
              <w:rPr>
                <w:rFonts w:hint="eastAsia" w:ascii="仿宋" w:hAnsi="仿宋" w:eastAsia="仿宋" w:cs="仿宋"/>
                <w:sz w:val="24"/>
                <w:szCs w:val="24"/>
              </w:rPr>
              <w:t>纳税人识别号：</w:t>
            </w:r>
          </w:p>
          <w:p>
            <w:pPr>
              <w:numPr>
                <w:ilvl w:val="0"/>
                <w:numId w:val="3"/>
              </w:numPr>
              <w:spacing w:line="480" w:lineRule="exact"/>
              <w:rPr>
                <w:rFonts w:hint="eastAsia" w:ascii="仿宋" w:hAnsi="仿宋" w:eastAsia="仿宋" w:cs="仿宋"/>
                <w:sz w:val="24"/>
                <w:szCs w:val="24"/>
              </w:rPr>
            </w:pPr>
            <w:r>
              <w:rPr>
                <w:rFonts w:hint="eastAsia" w:ascii="仿宋" w:hAnsi="仿宋" w:eastAsia="仿宋" w:cs="仿宋"/>
                <w:sz w:val="24"/>
                <w:szCs w:val="24"/>
              </w:rPr>
              <w:t>地址电话：</w:t>
            </w:r>
          </w:p>
          <w:p>
            <w:pPr>
              <w:numPr>
                <w:ilvl w:val="0"/>
                <w:numId w:val="3"/>
              </w:numPr>
              <w:spacing w:line="480" w:lineRule="exact"/>
              <w:rPr>
                <w:rFonts w:hint="eastAsia" w:ascii="仿宋" w:hAnsi="仿宋" w:eastAsia="仿宋" w:cs="仿宋"/>
                <w:sz w:val="24"/>
                <w:szCs w:val="24"/>
              </w:rPr>
            </w:pPr>
            <w:r>
              <w:rPr>
                <w:rFonts w:hint="eastAsia" w:ascii="仿宋" w:hAnsi="仿宋" w:eastAsia="仿宋" w:cs="仿宋"/>
                <w:sz w:val="24"/>
                <w:szCs w:val="24"/>
              </w:rPr>
              <w:t>开户行：</w:t>
            </w:r>
          </w:p>
          <w:p>
            <w:pPr>
              <w:numPr>
                <w:ilvl w:val="0"/>
                <w:numId w:val="3"/>
              </w:numPr>
              <w:spacing w:line="480" w:lineRule="exact"/>
              <w:rPr>
                <w:rFonts w:hint="eastAsia" w:ascii="仿宋" w:hAnsi="仿宋" w:eastAsia="仿宋" w:cs="仿宋"/>
                <w:sz w:val="24"/>
                <w:szCs w:val="24"/>
              </w:rPr>
            </w:pPr>
            <w:r>
              <w:rPr>
                <w:rFonts w:hint="eastAsia" w:ascii="仿宋" w:hAnsi="仿宋" w:eastAsia="仿宋" w:cs="仿宋"/>
                <w:sz w:val="24"/>
                <w:szCs w:val="24"/>
              </w:rPr>
              <w:t>账号：</w:t>
            </w:r>
          </w:p>
          <w:p>
            <w:pPr>
              <w:spacing w:line="480" w:lineRule="exact"/>
              <w:jc w:val="center"/>
              <w:rPr>
                <w:rFonts w:hint="eastAsia" w:ascii="仿宋" w:hAnsi="仿宋" w:eastAsia="仿宋" w:cs="仿宋"/>
                <w:sz w:val="24"/>
                <w:szCs w:val="24"/>
              </w:rPr>
            </w:pPr>
          </w:p>
        </w:tc>
      </w:tr>
    </w:tbl>
    <w:p>
      <w:pPr>
        <w:spacing w:line="480" w:lineRule="exact"/>
        <w:rPr>
          <w:rFonts w:hint="eastAsia" w:ascii="仿宋" w:hAnsi="仿宋" w:eastAsia="仿宋" w:cs="仿宋"/>
          <w:sz w:val="24"/>
          <w:szCs w:val="24"/>
        </w:rPr>
      </w:pPr>
    </w:p>
    <w:p>
      <w:pPr>
        <w:spacing w:line="480" w:lineRule="exact"/>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"mailto:请将此报名回执表电子版发邮件至wm20200701@163.com"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rPr>
        <w:t>请将此报名回执表电子版发邮件至wm20200701@163.com</w:t>
      </w:r>
      <w:r>
        <w:rPr>
          <w:rStyle w:val="8"/>
          <w:rFonts w:hint="eastAsia" w:ascii="仿宋" w:hAnsi="仿宋" w:eastAsia="仿宋" w:cs="仿宋"/>
          <w:sz w:val="24"/>
          <w:szCs w:val="24"/>
        </w:rPr>
        <w:fldChar w:fldCharType="end"/>
      </w:r>
    </w:p>
    <w:p>
      <w:pPr>
        <w:spacing w:line="480" w:lineRule="exact"/>
        <w:rPr>
          <w:rFonts w:hint="eastAsia" w:ascii="仿宋" w:hAnsi="仿宋" w:eastAsia="仿宋" w:cs="仿宋"/>
          <w:sz w:val="24"/>
          <w:szCs w:val="24"/>
        </w:rPr>
      </w:pPr>
      <w:r>
        <w:rPr>
          <w:rFonts w:hint="eastAsia" w:ascii="仿宋" w:hAnsi="仿宋" w:eastAsia="仿宋" w:cs="仿宋"/>
          <w:sz w:val="24"/>
          <w:szCs w:val="24"/>
        </w:rPr>
        <w:t xml:space="preserve">联系人： </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黄老师 手机：15071125996 </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王老师 手机：13871504258</w:t>
      </w:r>
    </w:p>
    <w:sectPr>
      <w:headerReference r:id="rId3" w:type="default"/>
      <w:footerReference r:id="rId5" w:type="default"/>
      <w:headerReference r:id="rId4" w:type="even"/>
      <w:footerReference r:id="rId6" w:type="even"/>
      <w:pgSz w:w="11906" w:h="16838"/>
      <w:pgMar w:top="1474"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3987"/>
    </w:sdtPr>
    <w:sdtContent>
      <w:p>
        <w:pPr>
          <w:pStyle w:val="3"/>
          <w:jc w:val="right"/>
        </w:pPr>
        <w:r>
          <w:fldChar w:fldCharType="begin"/>
        </w:r>
        <w:r>
          <w:instrText xml:space="preserve"> PAGE   \* MERGEFORMAT </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3976"/>
    </w:sdtPr>
    <w:sdtContent>
      <w:p>
        <w:pPr>
          <w:pStyle w:val="3"/>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B6731"/>
    <w:multiLevelType w:val="singleLevel"/>
    <w:tmpl w:val="AFAB6731"/>
    <w:lvl w:ilvl="0" w:tentative="0">
      <w:start w:val="2"/>
      <w:numFmt w:val="chineseCounting"/>
      <w:suff w:val="nothing"/>
      <w:lvlText w:val="（%1）"/>
      <w:lvlJc w:val="left"/>
      <w:rPr>
        <w:rFonts w:hint="eastAsia"/>
      </w:rPr>
    </w:lvl>
  </w:abstractNum>
  <w:abstractNum w:abstractNumId="1">
    <w:nsid w:val="0ECE20DB"/>
    <w:multiLevelType w:val="multilevel"/>
    <w:tmpl w:val="0ECE20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41A52E"/>
    <w:multiLevelType w:val="singleLevel"/>
    <w:tmpl w:val="7341A52E"/>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214"/>
    <w:rsid w:val="000053B3"/>
    <w:rsid w:val="00013F6A"/>
    <w:rsid w:val="00043BBB"/>
    <w:rsid w:val="00073E6E"/>
    <w:rsid w:val="000973E6"/>
    <w:rsid w:val="000F6B0E"/>
    <w:rsid w:val="00146FA2"/>
    <w:rsid w:val="001F04B9"/>
    <w:rsid w:val="00202A4A"/>
    <w:rsid w:val="00227C70"/>
    <w:rsid w:val="0023545F"/>
    <w:rsid w:val="00257118"/>
    <w:rsid w:val="002764A9"/>
    <w:rsid w:val="002C04D7"/>
    <w:rsid w:val="002F15EE"/>
    <w:rsid w:val="002F6E7D"/>
    <w:rsid w:val="00335F19"/>
    <w:rsid w:val="003403A7"/>
    <w:rsid w:val="003516A9"/>
    <w:rsid w:val="00375EDC"/>
    <w:rsid w:val="0038653E"/>
    <w:rsid w:val="003B20BB"/>
    <w:rsid w:val="003C3229"/>
    <w:rsid w:val="003C4D3F"/>
    <w:rsid w:val="003F1CC1"/>
    <w:rsid w:val="00411CE4"/>
    <w:rsid w:val="0041490D"/>
    <w:rsid w:val="00447EF6"/>
    <w:rsid w:val="004C7345"/>
    <w:rsid w:val="004E660A"/>
    <w:rsid w:val="00512725"/>
    <w:rsid w:val="00574A22"/>
    <w:rsid w:val="006030E3"/>
    <w:rsid w:val="0060470C"/>
    <w:rsid w:val="006413DB"/>
    <w:rsid w:val="00666789"/>
    <w:rsid w:val="006A5DF5"/>
    <w:rsid w:val="006B02E2"/>
    <w:rsid w:val="006C1900"/>
    <w:rsid w:val="006E0C21"/>
    <w:rsid w:val="00783F79"/>
    <w:rsid w:val="007A50C3"/>
    <w:rsid w:val="007D0133"/>
    <w:rsid w:val="007D51A5"/>
    <w:rsid w:val="007E42A9"/>
    <w:rsid w:val="007F6D9E"/>
    <w:rsid w:val="00801F3B"/>
    <w:rsid w:val="00854F44"/>
    <w:rsid w:val="00861C23"/>
    <w:rsid w:val="008639D6"/>
    <w:rsid w:val="008A712A"/>
    <w:rsid w:val="008F7282"/>
    <w:rsid w:val="00900109"/>
    <w:rsid w:val="00916C83"/>
    <w:rsid w:val="00943964"/>
    <w:rsid w:val="009C63EF"/>
    <w:rsid w:val="009E669F"/>
    <w:rsid w:val="009F469B"/>
    <w:rsid w:val="00A07F2E"/>
    <w:rsid w:val="00A17CA0"/>
    <w:rsid w:val="00A21912"/>
    <w:rsid w:val="00A362DB"/>
    <w:rsid w:val="00A36885"/>
    <w:rsid w:val="00A472F5"/>
    <w:rsid w:val="00AE6074"/>
    <w:rsid w:val="00B06458"/>
    <w:rsid w:val="00B1214C"/>
    <w:rsid w:val="00B416E3"/>
    <w:rsid w:val="00B71170"/>
    <w:rsid w:val="00B87AE0"/>
    <w:rsid w:val="00BB5DB9"/>
    <w:rsid w:val="00BB5E44"/>
    <w:rsid w:val="00BE1FE2"/>
    <w:rsid w:val="00C52E90"/>
    <w:rsid w:val="00C7053A"/>
    <w:rsid w:val="00D816AC"/>
    <w:rsid w:val="00DA0FBE"/>
    <w:rsid w:val="00DE4D25"/>
    <w:rsid w:val="00DE7E64"/>
    <w:rsid w:val="00E72214"/>
    <w:rsid w:val="00E76C6F"/>
    <w:rsid w:val="00ED214B"/>
    <w:rsid w:val="00EE04ED"/>
    <w:rsid w:val="00F47054"/>
    <w:rsid w:val="00F55A52"/>
    <w:rsid w:val="0437595C"/>
    <w:rsid w:val="22B818BB"/>
    <w:rsid w:val="269956BE"/>
    <w:rsid w:val="70BB4489"/>
    <w:rsid w:val="7A2707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页眉 字符"/>
    <w:basedOn w:val="7"/>
    <w:link w:val="4"/>
    <w:qFormat/>
    <w:uiPriority w:val="0"/>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614</Words>
  <Characters>3505</Characters>
  <Lines>29</Lines>
  <Paragraphs>8</Paragraphs>
  <TotalTime>14</TotalTime>
  <ScaleCrop>false</ScaleCrop>
  <LinksUpToDate>false</LinksUpToDate>
  <CharactersWithSpaces>4111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2020-07-30T02:00:00Z</dcterms:created>
  <dc:creator>Windows User</dc:creator>
  <cp:lastModifiedBy>Administrator</cp:lastModifiedBy>
  <cp:lastPrinted>2020-09-08T07:22:00Z</cp:lastPrinted>
  <dcterms:modified xsi:type="dcterms:W3CDTF">2021-02-04T07:30:02Z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