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96" w:right="96" w:firstLine="0"/>
        <w:jc w:val="center"/>
        <w:rPr>
          <w:rStyle w:val="5"/>
          <w:rFonts w:hint="default" w:ascii="Times New Roman" w:hAnsi="Times New Roman" w:eastAsia="Microsoft JhengHei UI" w:cs="Times New Roman"/>
          <w:i w:val="0"/>
          <w:iCs w:val="0"/>
          <w:caps w:val="0"/>
          <w:color w:val="333333"/>
          <w:spacing w:val="6"/>
          <w:sz w:val="20"/>
          <w:szCs w:val="20"/>
          <w:bdr w:val="none" w:color="auto" w:sz="0" w:space="0"/>
          <w:shd w:val="clear" w:fill="FFFFFF"/>
        </w:rPr>
      </w:pPr>
      <w:r>
        <w:rPr>
          <w:rStyle w:val="5"/>
          <w:rFonts w:hint="default" w:ascii="Times New Roman" w:hAnsi="Times New Roman" w:eastAsia="Microsoft JhengHei UI" w:cs="Times New Roman"/>
          <w:i w:val="0"/>
          <w:iCs w:val="0"/>
          <w:caps w:val="0"/>
          <w:color w:val="333333"/>
          <w:spacing w:val="6"/>
          <w:sz w:val="20"/>
          <w:szCs w:val="20"/>
          <w:bdr w:val="none" w:color="auto" w:sz="0" w:space="0"/>
          <w:shd w:val="clear" w:fill="FFFFFF"/>
        </w:rPr>
        <w:t>《中共中央 国务院关于完整准确全面贯彻新发展理念做好碳达峰碳中和工作的意见》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96" w:right="96" w:firstLine="0"/>
        <w:jc w:val="both"/>
        <w:rPr>
          <w:rFonts w:hint="eastAsia" w:ascii="Microsoft YaHei UI" w:hAnsi="Microsoft YaHei UI" w:eastAsia="Microsoft YaHei UI" w:cs="Microsoft YaHei UI"/>
          <w:i w:val="0"/>
          <w:iCs w:val="0"/>
          <w:caps w:val="0"/>
          <w:color w:val="333333"/>
          <w:spacing w:val="7"/>
          <w:sz w:val="20"/>
          <w:szCs w:val="20"/>
        </w:rPr>
      </w:pPr>
      <w:r>
        <w:rPr>
          <w:rStyle w:val="5"/>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一）指导思想。以习近平新时代中国特色社会主义思想为指导，全面贯彻党的十九大和十九届二中、三中、四中、五中全会精神，深入贯彻习近平生态文明思想，立足新发展阶段，贯彻新发展理念，构建新发展格局，坚持系统观念，处理好发展和减排、整体和局部、短期和中长期的关系，把碳达峰、碳中和纳入经济社会发展全局，以经济社会发展全面绿色转型为引领，以能源绿色低碳发展为关键，加快形成节约资源和保护环境的产业结构、生产方式、生活方式、空间格局，坚定不移走生态优先、绿色低碳的高质量发展道路，确保如期实现碳达峰、碳中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（二）工作原则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实现碳达峰、碳中和目标，要坚持“全国统筹、节约优先、双轮驱动、内外畅通、防范风险”原则。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——全国统筹。全国一盘棋，强化顶层设计，发挥制度优势，实行党政同责，压实各方责任。根据各地实际分类施策，鼓励主动作为、率先达峰。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——节约优先。把节约能源资源放在首位，实行全面节约战略，持续降低单位产出能源资源消耗和碳排放，提高投入产出效率，倡导简约适度、绿色低碳生活方式，从源头和入口形成有效的碳排放控制阀门。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——双轮驱动。政府和市场两手发力，构建新型举国体制，强化科技和制度创新，加快绿色低碳科技革命。深化能源和相关领域改革，发挥市场机制作用，形成有效激励约束机制。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——内外畅通。立足国情实际，统筹国内国际能源资源，推广先进绿色低碳技术和经验。统筹做好应对气候变化对外斗争与合作，不断增强国际影响力和话语权，坚决维护我国发展权益。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——防范风险。处理好减污降碳和能源安全、产业链供应链安全、粮食安全、群众正常生活的关系，有效应对绿色低碳转型可能伴随的经济、金融、社会风险，防止过度反应，确保安全降碳。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Style w:val="5"/>
          <w:rFonts w:hint="eastAsia" w:ascii="Microsoft YaHei UI" w:hAnsi="Microsoft YaHei UI" w:eastAsia="Microsoft YaHei UI" w:cs="Microsoft YaHei UI"/>
          <w:i w:val="0"/>
          <w:iCs w:val="0"/>
          <w:caps w:val="0"/>
          <w:color w:val="333333"/>
          <w:spacing w:val="6"/>
          <w:sz w:val="20"/>
          <w:szCs w:val="20"/>
          <w:shd w:val="clear" w:fill="FFFFFF"/>
        </w:rPr>
        <w:t>二、主要目标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419" w:firstLineChars="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到2025年，绿色低碳循环发展的经济体系初步形成，重点行业能源利用效率大幅提升。单位国内生产总值能耗比2020年下降13.5%；单位国内生产总值二氧化碳排放比2020年下降18%；非化石能源消费比重达到20%左右；森林覆盖率达到24.1%，森林蓄积量达到180亿立方米，为实现碳达峰、碳中和奠定坚实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419" w:firstLineChars="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到2030年，经济社会发展全面绿色转型取得显著成效，重点耗能行业能源利用效率达到国际先进水平。单位国内生产总值能耗大幅下降；单位国内生产总值二氧化碳排放比2005年下降65%以上；非化石能源消费比重达到25%左右，风电、太阳能发电总装机容量达到12亿千瓦以上；森林覆盖率达到25%左右，森林蓄积量达到190亿立方米，二氧化碳排放量达到峰值并实现稳中有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96" w:firstLine="420" w:firstLineChars="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到2060年，绿色低碳循环发展的经济体系和清洁低碳安全高效的能源体系全面建立，能源利用效率达到国际先进水平，非化石能源消费比重达到80%以上，碳中和目标顺利实现，生态文明建设取得丰硕成果，开创人与自然和谐共生新境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Style w:val="5"/>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三、推进经济社会发展全面绿色转型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三）强化绿色低碳发展规划引领。将碳达峰、碳中和目标要求全面融入经济社会发展中长期规划，强化国家发展规划、国土空间规划、专项规划、区域规划和地方各级规划的支撑保障。加强各级各类规划间衔接协调，确保各地区各领域落实碳达峰、碳中和的主要目标、发展方向、重大政策、重大工程等协调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四）优化绿色低碳发展区域布局。持续优化重大基础设施、重大生产力和公共资源布局，构建有利于碳达峰、碳中和的国土空间开发保护新格局。在京津冀协同发展、长江经济带发展、粤港澳大湾区建设、长三角一体化发展、黄河流域生态保护和高质量发展等区域重大战略实施中，强化绿色低碳发展导向和任务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五）加快形成绿色生产生活方式。大力推动节能减排，全面推进清洁生产，加快发展循环经济，加强资源综合利用，不断提升绿色低碳发展水平。扩大绿色低碳产品供给和消费，倡导绿色低碳生活方式。把绿色低碳发展纳入国民教育体系。开展绿色低碳社会行动示范创建。凝聚全社会共识，加快形成全民参与的良好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Style w:val="5"/>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四、深度调整产业结构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六）推动产业结构优化升级。加快推进农业绿色发展，促进农业固碳增效。制定能源、钢铁、有色金属、石化化工、建材、交通、建筑等行业和领域碳达峰实施方案。以节能降碳为导向，修订产业结构调整指导目录。开展钢铁、煤炭去产能“回头看”，巩固去产能成果。加快推进工业领域低碳工艺革新和数字化转型。开展碳达峰试点园区建设。加快商贸流通、信息服务等绿色转型，提升服务业低碳发展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七）坚决遏制高耗能高排放项目盲目发展。新建、扩建钢铁、水泥、平板玻璃、电解铝等高耗能高排放项目严格落实产能等量或减量置换，出台煤电、石化、煤化工等产能控制政策。未纳入国家有关领域产业规划的，一律不得新建改扩建炼油和新建乙烯、对二甲苯、煤制烯烃项目。合理控制煤制油气产能规模。提升高耗能高排放项目能耗准入标准。加强产能过剩分析预警和窗口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八）大力发展绿色低碳产业。加快发展新一代信息技术、生物技术、新能源、新材料、高端装备、新能源汽车、绿色环保以及航空航天、海洋装备等战略性新兴产业。建设绿色制造体系。推动互联网、大数据、人工智能、第五代移动通信（5G）等新兴技术与绿色低碳产业深度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Style w:val="5"/>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五、加快构建清洁低碳安全高效能源体系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九）强化能源消费强度和总量双控。坚持节能优先的能源发展战略，严格控制能耗和二氧化碳排放强度，合理控制能源消费总量，统筹建立二氧化碳排放总量控制制度。做好产业布局、结构调整、节能审查与能耗双控的衔接，对能耗强度下降目标完成形势严峻的地区实行项目缓批限批、能耗等量或减量替代。强化节能监察和执法，加强能耗及二氧化碳排放控制目标分析预警，严格责任落实和评价考核。加强甲烷等非二氧化碳温室气体管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大幅提升能源利用效率。把节能贯穿于经济社会发展全过程和各领域，持续深化工业、建筑、交通运输、公共机构等重点领域节能，提升数据中心、新型通信等信息化基础设施能效水平。健全能源管理体系，强化重点用能单位节能管理和目标责任。瞄准国际先进水平，加快实施节能降碳改造升级，打造能效“领跑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一）严格控制化石能源消费。加快煤炭减量步伐，“十四五”时期严控煤炭消费增长，“十五五”时期逐步减少。石油消费“十五五”时期进入峰值平台期。统筹煤电发展和保供调峰，严控煤电装机规模，加快现役煤电机组节能升级和灵活性改造。逐步减少直至禁止煤炭散烧。加快推进页岩气、煤层气、致密油气等非常规油气资源规模化开发。强化风险管控，确保能源安全稳定供应和平稳过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二）积极发展非化石能源。实施可再生能源替代行动，大力发展风能、太阳能、生物质能、海洋能、地热能等，不断提高非化石能源消费比重。坚持集中式与分布式并举，优先推动风能、太阳能就地就近开发利用。因地制宜开发水能。积极安全有序发展核电。合理利用生物质能。加快推进抽水蓄能和新型储能规模化应用。统筹推进氢能“制储输用”全链条发展。构建以新能源为主体的新型电力系统，提高电网对高比例可再生能源的消纳和调控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三）深化能源体制机制改革。全面推进电力市场化改革，加快培育发展配售电环节独立市场主体，完善中长期市场、现货市场和辅助服务市场衔接机制，扩大市场化交易规模。推进电网体制改革，明确以消纳可再生能源为主的增量配电网、微电网和分布式电源的市场主体地位。加快形成以储能和调峰能力为基础支撑的新增电力装机发展机制。完善电力等能源品种价格市场化形成机制。从有利于节能的角度深化电价改革，理顺输配电价结构，全面放开竞争性环节电价。推进煤炭、油气等市场化改革，加快完善能源统一市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Style w:val="5"/>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六、加快推进低碳交通运输体系建设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四）优化交通运输结构。加快建设综合立体交通网，大力发展多式联运，提高铁路、水路在综合运输中的承运比重，持续降低运输能耗和二氧化碳排放强度。优化客运组织，引导客运企业规模化、集约化经营。加快发展绿色物流，整合运输资源，提高利用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五）推广节能低碳型交通工具。加快发展新能源和清洁能源车船，推广智能交通，推进铁路电气化改造，推动加氢站建设，促进船舶靠港使用岸电常态化。加快构建便利高效、适度超前的充换电网络体系。提高燃油车船能效标准，健全交通运输装备能效标识制度，加快淘汰高耗能高排放老旧车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六）积极引导低碳出行。加快城市轨道交通、公交专用道、快速公交系统等大容量公共交通基础设施建设，加强自行车专用道和行人步道等城市慢行系统建设。综合运用法律、经济、技术、行政等多种手段，加大城市交通拥堵治理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Style w:val="5"/>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七、提升城乡建设绿色低碳发展质量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七）推进城乡建设和管理模式低碳转型。在城乡规划建设管理各环节全面落实绿色低碳要求。推动城市组团式发展，建设城市生态和通风廊道，提升城市绿化水平。合理规划城镇建筑面积发展目标，严格管控高能耗公共建筑建设。实施工程建设全过程绿色建造，健全建筑拆除管理制度，杜绝大拆大建。加快推进绿色社区建设。结合实施乡村建设行动，推进县城和农村绿色低碳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八）大力发展节能低碳建筑。持续提高新建建筑节能标准，加快推进超低能耗、近零能耗、低碳建筑规模化发展。大力推进城镇既有建筑和市政基础设施节能改造，提升建筑节能低碳水平。逐步开展建筑能耗限额管理，推行建筑能效测评标识，开展建筑领域低碳发展绩效评估。全面推广绿色低碳建材，推动建筑材料循环利用。发展绿色农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九）加快优化建筑用能结构。深化可再生能源建筑应用，加快推动建筑用能电气化和低碳化。开展建筑屋顶光伏行动，大幅提高建筑采暖、生活热水、炊事等电气化普及率。在北方城镇加快推进热电联产集中供暖，加快工业余热供暖规模化发展，积极稳妥推进核电余热供暖，因地制宜推进热泵、燃气、生物质能、地热能等清洁低碳供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Style w:val="5"/>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八、加强绿色低碳重大科技攻关和推广应用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二十）强化基础研究和前沿技术布局。制定科技支撑碳达峰、碳中和行动方案，编制碳中和技术发展路线图。采用“揭榜挂帅”机制，开展低碳零碳负碳和储能新材料、新技术、新装备攻关。加强气候变化成因及影响、生态系统碳汇等基础理论和方法研究。推进高效率太阳能电池、可再生能源制氢、可控核聚变、零碳工业流程再造等低碳前沿技术攻关。培育一批节能降碳和新能源技术产品研发国家重点实验室、国家技术创新中心、重大科技创新平台。建设碳达峰、碳中和人才体系，鼓励高等学校增设碳达峰、碳中和相关学科专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二十一）加快先进适用技术研发和推广。深入研究支撑风电、太阳能发电大规模友好并网的智能电网技术。加强电化学、压缩空气等新型储能技术攻关、示范和产业化应用。加强氢能生产、储存、应用关键技术研发、示范和规模化应用。推广园区能源梯级利用等节能低碳技术。推动气凝胶等新型材料研发应用。推进规模化碳捕集利用与封存技术研发、示范和产业化应用。建立完善绿色低碳技术评估、交易体系和科技创新服务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Style w:val="5"/>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九、持续巩固提升碳汇能力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二十二）巩固生态系统碳汇能力。强化国土空间规划和用途管控，严守生态保护红线，严控生态空间占用，稳定现有森林、草原、湿地、海洋、土壤、冻土、岩溶等固碳作用。严格控制新增建设用地规模，推动城乡存量建设用地盘活利用。严格执行土地使用标准，加强节约集约用地评价，推广节地技术和节地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二十三）提升生态系统碳汇增量。实施生态保护修复重大工程，开展山水林田湖草沙一体化保护和修复。深入推进大规模国土绿化行动，巩固退耕还林还草成果，实施森林质量精准提升工程，持续增加森林面积和蓄积量。加强草原生态保护修复。强化湿地保护。整体推进海洋生态系统保护和修复，提升红树林、海草床、盐沼等固碳能力。开展耕地质量提升行动，实施国家黑土地保护工程，提升生态农业碳汇。积极推动岩溶碳汇开发利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Style w:val="5"/>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十、提高对外开放绿色低碳发展水平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二十四）加快建立绿色贸易体系。持续优化贸易结构，大力发展高质量、高技术、高附加值绿色产品贸易。完善出口政策，严格管理高耗能高排放产品出口。积极扩大绿色低碳产品、节能环保服务、环境服务等进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二十五）推进绿色“一带一路”建设。加快“一带一路”投资合作绿色转型。支持共建“一带一路”国家开展清洁能源开发利用。大力推动南南合作，帮助发展中国家提高应对气候变化能力。深化与各国在绿色技术、绿色装备、绿色服务、绿色基础设施建设等方面的交流与合作，积极推动我国新能源等绿色低碳技术和产品走出去，让绿色成为共建“一带一路”的底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二十六）加强国际交流与合作。积极参与应对气候变化国际谈判，坚持我国发展中国家定位，坚持共同但有区别的责任原则、公平原则和各自能力原则，维护我国发展权益。履行《联合国气候变化框架公约》及其《巴黎协定》，发布我国长期温室气体低排放发展战略，积极参与国际规则和标准制定，推动建立公平合理、合作共赢的全球气候治理体系。加强应对气候变化国际交流合作，统筹国内外工作，主动参与全球气候和环境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Style w:val="5"/>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十一、健全法律法规标准和统计监测体系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二十七）健全法律法规。全面清理现行法律法规中与碳达峰、碳中和工作不相适应的内容，加强法律法规间的衔接协调。研究制定碳中和专项法律，抓紧修订节约能源法、电力法、煤炭法、可再生能源法、循环经济促进法等，增强相关法律法规的针对性和有效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二十八）完善标准计量体系。建立健全碳达峰、碳中和标准计量体系。加快节能标准更新升级，抓紧修订一批能耗限额、产品设备能效强制性国家标准和工程建设标准，提升重点产品能耗限额要求，扩大能耗限额标准覆盖范围，完善能源核算、检测认证、评估、审计等配套标准。加快完善地区、行业、企业、产品等碳排放核查核算报告标准，建立统一规范的碳核算体系。制定重点行业和产品温室气体排放标准，完善低碳产品标准标识制度。积极参与相关国际标准制定，加强标准国际衔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二十九）提升统计监测能力。健全电力、钢铁、建筑等行业领域能耗统计监测和计量体系，加强重点用能单位能耗在线监测系统建设。加强二氧化碳排放统计核算能力建设，提升信息化实测水平。依托和拓展自然资源调查监测体系，建立生态系统碳汇监测核算体系，开展森林、草原、湿地、海洋、土壤、冻土、岩溶等碳汇本底调查和碳储量评估，实施生态保护修复碳汇成效监测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Style w:val="5"/>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十二、完善政策机制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三十）完善投资政策。充分发挥政府投资引导作用，构建与碳达峰、碳中和相适应的投融资体系，严控煤电、钢铁、电解铝、水泥、石化等高碳项目投资，加大对节能环保、新能源、低碳交通运输装备和组织方式、碳捕集利用与封存等项目的支持力度。完善支持社会资本参与政策，激发市场主体绿色低碳投资活力。国有企业要加大绿色低碳投资，积极开展低碳零碳负碳技术研发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三十一）积极发展绿色金融。有序推进绿色低碳金融产品和服务开发，设立碳减排货币政策工具，将绿色信贷纳入宏观审慎评估框架，引导银行等金融机构为绿色低碳项目提供长期限、低成本资金。鼓励开发性政策性金融机构按照市场化法治化原则为实现碳达峰、碳中和提供长期稳定融资支持。支持符合条件的企业上市融资和再融资用于绿色低碳项目建设运营，扩大绿色债券规模。研究设立国家低碳转型基金。鼓励社会资本设立绿色低碳产业投资基金。建立健全绿色金融标准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三十二）完善财税价格政策。各级财政要加大对绿色低碳产业发展、技术研发等的支持力度。完善政府绿色采购标准，加大绿色低碳产品采购力度。落实环境保护、节能节水、新能源和清洁能源车船税收优惠。研究碳减排相关税收政策。建立健全促进可再生能源规模化发展的价格机制。完善差别化电价、分时电价和居民阶梯电价政策。严禁对高耗能、高排放、资源型行业实施电价优惠。加快推进供热计量改革和按供热量收费。加快形成具有合理约束力的碳价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三十三）推进市场化机制建设。依托公共资源交易平台，加快建设完善全国碳排放权交易市场，逐步扩大市场覆盖范围，丰富交易品种和交易方式，完善配额分配管理。将碳汇交易纳入全国碳排放权交易市场，建立健全能够体现碳汇价值的生态保护补偿机制。健全企业、金融机构等碳排放报告和信息披露制度。完善用能权有偿使用和交易制度，加快建设全国用能权交易市场。加强电力交易、用能权交易和碳排放权交易的统筹衔接。发展市场化节能方式，推行合同能源管理，推广节能综合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7"/>
          <w:sz w:val="20"/>
          <w:szCs w:val="20"/>
        </w:rPr>
      </w:pPr>
      <w:r>
        <w:rPr>
          <w:rStyle w:val="5"/>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十三、切实加强组织实施</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pPr>
      <w:r>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t>（三十四）加强组织领导。加强党中央对碳达峰、碳中和工作的集中统一领导，碳达峰碳中和工作领导小组指导和统筹做好碳达峰、碳中和工作。支持有条件的地方和重点行业、重点企业率先实现碳达峰，组织开展碳达峰、碳中和先行示范，探索有效模式和有益经验。将碳达峰、碳中和作为干部教育培训体系重要内容，增强各级领导干部推动绿色低碳发展的本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6"/>
          <w:sz w:val="20"/>
          <w:szCs w:val="20"/>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6"/>
          <w:sz w:val="20"/>
          <w:szCs w:val="20"/>
          <w:shd w:val="clear" w:fill="FFFFFF"/>
        </w:rPr>
      </w:pPr>
      <w:r>
        <w:rPr>
          <w:rFonts w:hint="eastAsia" w:ascii="Microsoft YaHei UI" w:hAnsi="Microsoft YaHei UI" w:eastAsia="Microsoft YaHei UI" w:cs="Microsoft YaHei UI"/>
          <w:i w:val="0"/>
          <w:iCs w:val="0"/>
          <w:caps w:val="0"/>
          <w:color w:val="333333"/>
          <w:spacing w:val="6"/>
          <w:sz w:val="20"/>
          <w:szCs w:val="20"/>
          <w:shd w:val="clear" w:fill="FFFFFF"/>
        </w:rPr>
        <w:t>（三十五）强化统筹协调。国家发展改革委要加强统筹，组织落实2030年前碳达峰行动方案，加强碳中和工作谋划，定期调度各地区各有关部门落实碳达峰、碳中和目标任务进展情况，加强跟踪评估和督促检查，协调解决实施中遇到的重大问题。各有关部门要加强协调配合，形成工作合力，确保政策取向一致、步骤力度衔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6"/>
          <w:sz w:val="20"/>
          <w:szCs w:val="2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6"/>
          <w:sz w:val="20"/>
          <w:szCs w:val="20"/>
          <w:shd w:val="clear" w:fill="FFFFFF"/>
        </w:rPr>
      </w:pPr>
      <w:r>
        <w:rPr>
          <w:rFonts w:hint="eastAsia" w:ascii="Microsoft YaHei UI" w:hAnsi="Microsoft YaHei UI" w:eastAsia="Microsoft YaHei UI" w:cs="Microsoft YaHei UI"/>
          <w:i w:val="0"/>
          <w:iCs w:val="0"/>
          <w:caps w:val="0"/>
          <w:color w:val="333333"/>
          <w:spacing w:val="6"/>
          <w:sz w:val="20"/>
          <w:szCs w:val="20"/>
          <w:shd w:val="clear" w:fill="FFFFFF"/>
        </w:rPr>
        <w:t>（三十六）压实地方责任。落实领导干部生态文明建设责任制，地方各级党委和政府要坚决扛起碳达峰、碳中和责任，明确目标任务，制定落实举措，自觉为实现碳达峰、碳中和作出贡献。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6"/>
          <w:sz w:val="20"/>
          <w:szCs w:val="2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96" w:right="96" w:firstLine="0"/>
        <w:jc w:val="both"/>
        <w:textAlignment w:val="auto"/>
        <w:rPr>
          <w:rFonts w:hint="eastAsia" w:ascii="Microsoft YaHei UI" w:hAnsi="Microsoft YaHei UI" w:eastAsia="Microsoft YaHei UI" w:cs="Microsoft YaHei UI"/>
          <w:i w:val="0"/>
          <w:iCs w:val="0"/>
          <w:caps w:val="0"/>
          <w:color w:val="333333"/>
          <w:spacing w:val="6"/>
          <w:sz w:val="20"/>
          <w:szCs w:val="20"/>
          <w:shd w:val="clear" w:fill="FFFFFF"/>
        </w:rPr>
      </w:pPr>
      <w:r>
        <w:rPr>
          <w:rFonts w:hint="eastAsia" w:ascii="Microsoft YaHei UI" w:hAnsi="Microsoft YaHei UI" w:eastAsia="Microsoft YaHei UI" w:cs="Microsoft YaHei UI"/>
          <w:i w:val="0"/>
          <w:iCs w:val="0"/>
          <w:caps w:val="0"/>
          <w:color w:val="333333"/>
          <w:spacing w:val="6"/>
          <w:sz w:val="20"/>
          <w:szCs w:val="20"/>
          <w:shd w:val="clear" w:fill="FFFFFF"/>
        </w:rPr>
        <w:t>（三十七）严格监督考核。各地区要将碳达峰、碳中和相关指标纳入经济社会发展综合评价体系，增加考核权重，加强指标约束。强化碳达峰、碳中和目标任务落实情况考核，对工作突出的地区、单位和个人按规定给予表彰奖励，对未完成目标任务的地区、部门依规依法实行通报批评和约谈问责，有关落实情况纳入中央生态环境保护督察。各地区各有关部门贯彻落实情况每年向党中央、国务院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A501F"/>
    <w:rsid w:val="739A5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2021-11-02T02:17:00Z</dcterms:created>
  <dc:creator>这刻的记忆</dc:creator>
  <cp:lastModifiedBy>这刻的记忆</cp:lastModifiedBy>
  <dcterms:modified xsi:type="dcterms:W3CDTF">2021-11-02T02:25:46Z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182A32E1E02345A8BC93067E9F7EB278</vt:lpwstr>
  </property>
</Properties>
</file>