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0A31" w14:textId="77777777" w:rsidR="00EE46C8" w:rsidRPr="00EE46C8" w:rsidRDefault="00EE46C8" w:rsidP="00EE46C8">
      <w:pPr>
        <w:widowControl/>
        <w:spacing w:before="100" w:beforeAutospacing="1" w:after="100" w:afterAutospacing="1" w:line="450" w:lineRule="atLeast"/>
        <w:jc w:val="center"/>
        <w:rPr>
          <w:rFonts w:ascii="微软雅黑" w:eastAsia="微软雅黑" w:hAnsi="微软雅黑" w:cs="宋体"/>
          <w:color w:val="4C5157"/>
          <w:kern w:val="0"/>
          <w:sz w:val="24"/>
          <w:szCs w:val="24"/>
        </w:rPr>
      </w:pPr>
      <w:r w:rsidRPr="00EE46C8">
        <w:rPr>
          <w:rFonts w:ascii="微软雅黑" w:eastAsia="微软雅黑" w:hAnsi="微软雅黑" w:cs="宋体" w:hint="eastAsia"/>
          <w:b/>
          <w:bCs/>
          <w:color w:val="4C5157"/>
          <w:kern w:val="0"/>
          <w:sz w:val="24"/>
          <w:szCs w:val="24"/>
        </w:rPr>
        <w:t>湖北省装配式建筑装配率计算规则（试行）</w:t>
      </w:r>
    </w:p>
    <w:p w14:paraId="039EC675"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一、适用范围</w:t>
      </w:r>
    </w:p>
    <w:p w14:paraId="7D302302"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本《计算规则》适用于装配式混凝土结构建筑与装配式钢结构建筑。木结构建筑装配率计算可参照执行。</w:t>
      </w:r>
    </w:p>
    <w:p w14:paraId="3ABBFFE2"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各地方人民政府及相关责任主管部门、各有关单位,在装配式建筑土地供应、项目报建、图纸审查、竣工验收等环节，应按《计算规则》控制和落实装配式建筑单体装配率指标要求。</w:t>
      </w:r>
    </w:p>
    <w:p w14:paraId="59545A31"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本《计算规则》自发文之日起实施。</w:t>
      </w:r>
    </w:p>
    <w:p w14:paraId="1414E285"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二、一般规定</w:t>
      </w:r>
    </w:p>
    <w:p w14:paraId="0042BE32"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（一）本《计算规则》中的装配率是指单体建筑±0.000标高以上的承重构件、楼（屋）盖构件、外围护墙体、内隔墙体与建筑装修满足装配式要求的综合比例。</w:t>
      </w:r>
    </w:p>
    <w:p w14:paraId="1B872848"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（二）装配式建筑的装配率计算应以单体建筑作为计算单元，并应符合下列规定：</w:t>
      </w:r>
    </w:p>
    <w:p w14:paraId="2B211AC4"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1.一般情况下，单体建筑应按项目规划批准文件的建筑编号确认。</w:t>
      </w:r>
    </w:p>
    <w:p w14:paraId="300C9371"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2.对于主楼带有裙房的建筑项目，当裙房总建筑面积不小于5000平方米时，主楼和裙房可分别按不同的单体建筑进行计算，主楼与裙房可按主楼标准层正投影范围确认分界。</w:t>
      </w:r>
    </w:p>
    <w:p w14:paraId="6D811F67"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lastRenderedPageBreak/>
        <w:t>3.对于层数为三层及以下，且地上建筑面积不超过500平方米的单栋建筑，可形成建筑组团共同作为计算单元。</w:t>
      </w:r>
    </w:p>
    <w:p w14:paraId="0D9EABF4"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三、装配式建筑装配率应满足下列条件：</w:t>
      </w:r>
    </w:p>
    <w:p w14:paraId="1B377B19"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1.装配式混凝土结构建筑装配率不低于50%。</w:t>
      </w:r>
    </w:p>
    <w:p w14:paraId="3A7A1E30"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2.装配式钢结构建筑装配率不低于60%。</w:t>
      </w:r>
    </w:p>
    <w:p w14:paraId="79E4E270"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其中：</w:t>
      </w:r>
    </w:p>
    <w:p w14:paraId="5CCFDC12"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柱、支撑、承重墙、延性墙板等竖向承重构件主要采用混凝土材料时，</w:t>
      </w:r>
      <w:proofErr w:type="gramStart"/>
      <w:r w:rsidRPr="00EE46C8">
        <w:rPr>
          <w:rFonts w:ascii="微软雅黑" w:eastAsia="微软雅黑" w:hAnsi="微软雅黑" w:cs="宋体" w:hint="eastAsia"/>
          <w:color w:val="4C5157"/>
          <w:kern w:val="0"/>
          <w:sz w:val="24"/>
          <w:szCs w:val="24"/>
        </w:rPr>
        <w:t>预制部</w:t>
      </w:r>
      <w:proofErr w:type="gramEnd"/>
      <w:r w:rsidRPr="00EE46C8">
        <w:rPr>
          <w:rFonts w:ascii="微软雅黑" w:eastAsia="微软雅黑" w:hAnsi="微软雅黑" w:cs="宋体" w:hint="eastAsia"/>
          <w:color w:val="4C5157"/>
          <w:kern w:val="0"/>
          <w:sz w:val="24"/>
          <w:szCs w:val="24"/>
        </w:rPr>
        <w:t>品部件的应用比例不应低于50%；主要采用</w:t>
      </w:r>
      <w:proofErr w:type="gramStart"/>
      <w:r w:rsidRPr="00EE46C8">
        <w:rPr>
          <w:rFonts w:ascii="微软雅黑" w:eastAsia="微软雅黑" w:hAnsi="微软雅黑" w:cs="宋体" w:hint="eastAsia"/>
          <w:color w:val="4C5157"/>
          <w:kern w:val="0"/>
          <w:sz w:val="24"/>
          <w:szCs w:val="24"/>
        </w:rPr>
        <w:t>金属材料及钢</w:t>
      </w:r>
      <w:proofErr w:type="gramEnd"/>
      <w:r w:rsidRPr="00EE46C8">
        <w:rPr>
          <w:rFonts w:ascii="微软雅黑" w:eastAsia="微软雅黑" w:hAnsi="微软雅黑" w:cs="宋体" w:hint="eastAsia"/>
          <w:color w:val="4C5157"/>
          <w:kern w:val="0"/>
          <w:sz w:val="24"/>
          <w:szCs w:val="24"/>
        </w:rPr>
        <w:t>-混凝土组合材料时，应全部采用</w:t>
      </w:r>
      <w:proofErr w:type="gramStart"/>
      <w:r w:rsidRPr="00EE46C8">
        <w:rPr>
          <w:rFonts w:ascii="微软雅黑" w:eastAsia="微软雅黑" w:hAnsi="微软雅黑" w:cs="宋体" w:hint="eastAsia"/>
          <w:color w:val="4C5157"/>
          <w:kern w:val="0"/>
          <w:sz w:val="24"/>
          <w:szCs w:val="24"/>
        </w:rPr>
        <w:t>预制部</w:t>
      </w:r>
      <w:proofErr w:type="gramEnd"/>
      <w:r w:rsidRPr="00EE46C8">
        <w:rPr>
          <w:rFonts w:ascii="微软雅黑" w:eastAsia="微软雅黑" w:hAnsi="微软雅黑" w:cs="宋体" w:hint="eastAsia"/>
          <w:color w:val="4C5157"/>
          <w:kern w:val="0"/>
          <w:sz w:val="24"/>
          <w:szCs w:val="24"/>
        </w:rPr>
        <w:t>品部件。</w:t>
      </w:r>
    </w:p>
    <w:p w14:paraId="2D3A8245"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楼（屋）盖构件中装配式部品部件的应用比例不应低于70%。</w:t>
      </w:r>
    </w:p>
    <w:p w14:paraId="38A461D7"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外围护墙采用非砌筑类型墙体的应用比例不应低于80%。</w:t>
      </w:r>
    </w:p>
    <w:p w14:paraId="154A479B"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分户墙、内隔墙采用非砌筑类型墙体的应用比例不应低于50%。</w:t>
      </w:r>
    </w:p>
    <w:p w14:paraId="5DA9B842"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建筑装修率不小于50％。</w:t>
      </w:r>
    </w:p>
    <w:p w14:paraId="530EA999"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四、计算方法</w:t>
      </w:r>
    </w:p>
    <w:p w14:paraId="748D2274"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t>1.装配率计算方法：</w:t>
      </w:r>
      <w:r w:rsidRPr="00EE46C8">
        <w:rPr>
          <w:rFonts w:ascii="微软雅黑" w:eastAsia="微软雅黑" w:hAnsi="微软雅黑" w:cs="宋体" w:hint="eastAsia"/>
          <w:color w:val="4C5157"/>
          <w:kern w:val="0"/>
          <w:sz w:val="24"/>
          <w:szCs w:val="24"/>
        </w:rPr>
        <w:t>装配式建筑的装配率应根据表1中相关参数，按下列公式进行计算：</w:t>
      </w:r>
    </w:p>
    <w:p w14:paraId="656FAE1B"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t>表1 装配式建筑装配率计算表</w:t>
      </w:r>
    </w:p>
    <w:tbl>
      <w:tblPr>
        <w:tblW w:w="8640" w:type="dxa"/>
        <w:tblCellSpacing w:w="15" w:type="dxa"/>
        <w:tblCellMar>
          <w:left w:w="0" w:type="dxa"/>
          <w:right w:w="0" w:type="dxa"/>
        </w:tblCellMar>
        <w:tblLook w:val="04A0" w:firstRow="1" w:lastRow="0" w:firstColumn="1" w:lastColumn="0" w:noHBand="0" w:noVBand="1"/>
      </w:tblPr>
      <w:tblGrid>
        <w:gridCol w:w="926"/>
        <w:gridCol w:w="1621"/>
        <w:gridCol w:w="2227"/>
        <w:gridCol w:w="1624"/>
        <w:gridCol w:w="2242"/>
      </w:tblGrid>
      <w:tr w:rsidR="00EE46C8" w:rsidRPr="00EE46C8" w14:paraId="7440F2A2" w14:textId="77777777" w:rsidTr="00EE46C8">
        <w:trPr>
          <w:tblCellSpacing w:w="15" w:type="dxa"/>
        </w:trPr>
        <w:tc>
          <w:tcPr>
            <w:tcW w:w="4770" w:type="dxa"/>
            <w:gridSpan w:val="3"/>
            <w:hideMark/>
          </w:tcPr>
          <w:p w14:paraId="0877264B"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b/>
                <w:bCs/>
                <w:kern w:val="0"/>
                <w:szCs w:val="21"/>
              </w:rPr>
              <w:lastRenderedPageBreak/>
              <w:t>指标项</w:t>
            </w:r>
          </w:p>
        </w:tc>
        <w:tc>
          <w:tcPr>
            <w:tcW w:w="1620" w:type="dxa"/>
            <w:hideMark/>
          </w:tcPr>
          <w:p w14:paraId="5E04AE9C"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b/>
                <w:bCs/>
                <w:kern w:val="0"/>
                <w:szCs w:val="21"/>
              </w:rPr>
              <w:t>指标要求</w:t>
            </w:r>
          </w:p>
        </w:tc>
        <w:tc>
          <w:tcPr>
            <w:tcW w:w="2250" w:type="dxa"/>
            <w:hideMark/>
          </w:tcPr>
          <w:p w14:paraId="74AB8CAE"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b/>
                <w:bCs/>
                <w:kern w:val="0"/>
                <w:szCs w:val="21"/>
              </w:rPr>
              <w:t>权重系数</w:t>
            </w:r>
          </w:p>
        </w:tc>
      </w:tr>
      <w:tr w:rsidR="00EE46C8" w:rsidRPr="00EE46C8" w14:paraId="69F87D9F" w14:textId="77777777" w:rsidTr="00EE46C8">
        <w:trPr>
          <w:tblCellSpacing w:w="15" w:type="dxa"/>
        </w:trPr>
        <w:tc>
          <w:tcPr>
            <w:tcW w:w="900" w:type="dxa"/>
            <w:vMerge w:val="restart"/>
            <w:vAlign w:val="center"/>
            <w:hideMark/>
          </w:tcPr>
          <w:p w14:paraId="7AA921C4"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承重结构构件</w:t>
            </w:r>
          </w:p>
        </w:tc>
        <w:tc>
          <w:tcPr>
            <w:tcW w:w="1620" w:type="dxa"/>
            <w:vMerge w:val="restart"/>
            <w:vAlign w:val="center"/>
            <w:hideMark/>
          </w:tcPr>
          <w:p w14:paraId="45815237"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柱、支撑、承重墙、延性墙板等竖向承重构件</w:t>
            </w:r>
          </w:p>
        </w:tc>
        <w:tc>
          <w:tcPr>
            <w:tcW w:w="2250" w:type="dxa"/>
            <w:vAlign w:val="center"/>
            <w:hideMark/>
          </w:tcPr>
          <w:p w14:paraId="0D3BE51F"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主要为混凝土材料</w:t>
            </w:r>
            <w:r w:rsidRPr="00EE46C8">
              <w:rPr>
                <w:rFonts w:ascii="微软雅黑" w:eastAsia="微软雅黑" w:hAnsi="微软雅黑" w:cs="宋体" w:hint="eastAsia"/>
                <w:i/>
                <w:iCs/>
                <w:kern w:val="0"/>
                <w:szCs w:val="21"/>
              </w:rPr>
              <w:t>Q</w:t>
            </w:r>
            <w:r w:rsidRPr="00EE46C8">
              <w:rPr>
                <w:rFonts w:ascii="微软雅黑" w:eastAsia="微软雅黑" w:hAnsi="微软雅黑" w:cs="宋体" w:hint="eastAsia"/>
                <w:i/>
                <w:iCs/>
                <w:kern w:val="0"/>
                <w:szCs w:val="21"/>
                <w:vertAlign w:val="subscript"/>
              </w:rPr>
              <w:t>1</w:t>
            </w:r>
          </w:p>
        </w:tc>
        <w:tc>
          <w:tcPr>
            <w:tcW w:w="1620" w:type="dxa"/>
            <w:vAlign w:val="center"/>
            <w:hideMark/>
          </w:tcPr>
          <w:p w14:paraId="4DD18145"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比例≥50%</w:t>
            </w:r>
          </w:p>
        </w:tc>
        <w:tc>
          <w:tcPr>
            <w:tcW w:w="2250" w:type="dxa"/>
            <w:vMerge w:val="restart"/>
            <w:vAlign w:val="center"/>
            <w:hideMark/>
          </w:tcPr>
          <w:p w14:paraId="795917F1"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0.30</w:t>
            </w:r>
          </w:p>
        </w:tc>
      </w:tr>
      <w:tr w:rsidR="00EE46C8" w:rsidRPr="00EE46C8" w14:paraId="365BCD48" w14:textId="77777777" w:rsidTr="00EE46C8">
        <w:trPr>
          <w:tblCellSpacing w:w="15" w:type="dxa"/>
        </w:trPr>
        <w:tc>
          <w:tcPr>
            <w:tcW w:w="0" w:type="auto"/>
            <w:vMerge/>
            <w:vAlign w:val="center"/>
            <w:hideMark/>
          </w:tcPr>
          <w:p w14:paraId="7CF82D60" w14:textId="77777777" w:rsidR="00EE46C8" w:rsidRPr="00EE46C8" w:rsidRDefault="00EE46C8" w:rsidP="00EE46C8">
            <w:pPr>
              <w:widowControl/>
              <w:jc w:val="left"/>
              <w:rPr>
                <w:rFonts w:ascii="微软雅黑" w:eastAsia="微软雅黑" w:hAnsi="微软雅黑" w:cs="宋体"/>
                <w:kern w:val="0"/>
                <w:szCs w:val="21"/>
              </w:rPr>
            </w:pPr>
          </w:p>
        </w:tc>
        <w:tc>
          <w:tcPr>
            <w:tcW w:w="0" w:type="auto"/>
            <w:vMerge/>
            <w:vAlign w:val="center"/>
            <w:hideMark/>
          </w:tcPr>
          <w:p w14:paraId="57F1BC4D" w14:textId="77777777" w:rsidR="00EE46C8" w:rsidRPr="00EE46C8" w:rsidRDefault="00EE46C8" w:rsidP="00EE46C8">
            <w:pPr>
              <w:widowControl/>
              <w:jc w:val="left"/>
              <w:rPr>
                <w:rFonts w:ascii="微软雅黑" w:eastAsia="微软雅黑" w:hAnsi="微软雅黑" w:cs="宋体"/>
                <w:kern w:val="0"/>
                <w:szCs w:val="21"/>
              </w:rPr>
            </w:pPr>
          </w:p>
        </w:tc>
        <w:tc>
          <w:tcPr>
            <w:tcW w:w="2250" w:type="dxa"/>
            <w:vAlign w:val="center"/>
            <w:hideMark/>
          </w:tcPr>
          <w:p w14:paraId="6FD1BCB2"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主要为</w:t>
            </w:r>
            <w:proofErr w:type="gramStart"/>
            <w:r w:rsidRPr="00EE46C8">
              <w:rPr>
                <w:rFonts w:ascii="微软雅黑" w:eastAsia="微软雅黑" w:hAnsi="微软雅黑" w:cs="宋体" w:hint="eastAsia"/>
                <w:kern w:val="0"/>
                <w:szCs w:val="21"/>
              </w:rPr>
              <w:t>金属材料及钢</w:t>
            </w:r>
            <w:proofErr w:type="gramEnd"/>
            <w:r w:rsidRPr="00EE46C8">
              <w:rPr>
                <w:rFonts w:ascii="微软雅黑" w:eastAsia="微软雅黑" w:hAnsi="微软雅黑" w:cs="宋体" w:hint="eastAsia"/>
                <w:kern w:val="0"/>
                <w:szCs w:val="21"/>
              </w:rPr>
              <w:t>-混凝土组合材料</w:t>
            </w:r>
            <w:r w:rsidRPr="00EE46C8">
              <w:rPr>
                <w:rFonts w:ascii="微软雅黑" w:eastAsia="微软雅黑" w:hAnsi="微软雅黑" w:cs="宋体" w:hint="eastAsia"/>
                <w:i/>
                <w:iCs/>
                <w:kern w:val="0"/>
                <w:szCs w:val="21"/>
              </w:rPr>
              <w:t>Q</w:t>
            </w:r>
            <w:r w:rsidRPr="00EE46C8">
              <w:rPr>
                <w:rFonts w:ascii="微软雅黑" w:eastAsia="微软雅黑" w:hAnsi="微软雅黑" w:cs="宋体" w:hint="eastAsia"/>
                <w:i/>
                <w:iCs/>
                <w:kern w:val="0"/>
                <w:szCs w:val="21"/>
                <w:vertAlign w:val="subscript"/>
              </w:rPr>
              <w:t>2</w:t>
            </w:r>
          </w:p>
        </w:tc>
        <w:tc>
          <w:tcPr>
            <w:tcW w:w="1620" w:type="dxa"/>
            <w:vAlign w:val="center"/>
            <w:hideMark/>
          </w:tcPr>
          <w:p w14:paraId="5C40F9FD"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比例=100%</w:t>
            </w:r>
          </w:p>
        </w:tc>
        <w:tc>
          <w:tcPr>
            <w:tcW w:w="0" w:type="auto"/>
            <w:vMerge/>
            <w:vAlign w:val="center"/>
            <w:hideMark/>
          </w:tcPr>
          <w:p w14:paraId="43C34C88" w14:textId="77777777" w:rsidR="00EE46C8" w:rsidRPr="00EE46C8" w:rsidRDefault="00EE46C8" w:rsidP="00EE46C8">
            <w:pPr>
              <w:widowControl/>
              <w:jc w:val="left"/>
              <w:rPr>
                <w:rFonts w:ascii="微软雅黑" w:eastAsia="微软雅黑" w:hAnsi="微软雅黑" w:cs="宋体"/>
                <w:kern w:val="0"/>
                <w:szCs w:val="21"/>
              </w:rPr>
            </w:pPr>
          </w:p>
        </w:tc>
      </w:tr>
      <w:tr w:rsidR="00EE46C8" w:rsidRPr="00EE46C8" w14:paraId="2FA168EE" w14:textId="77777777" w:rsidTr="00EE46C8">
        <w:trPr>
          <w:tblCellSpacing w:w="15" w:type="dxa"/>
        </w:trPr>
        <w:tc>
          <w:tcPr>
            <w:tcW w:w="0" w:type="auto"/>
            <w:vMerge/>
            <w:vAlign w:val="center"/>
            <w:hideMark/>
          </w:tcPr>
          <w:p w14:paraId="7ADF0EC1" w14:textId="77777777" w:rsidR="00EE46C8" w:rsidRPr="00EE46C8" w:rsidRDefault="00EE46C8" w:rsidP="00EE46C8">
            <w:pPr>
              <w:widowControl/>
              <w:jc w:val="left"/>
              <w:rPr>
                <w:rFonts w:ascii="微软雅黑" w:eastAsia="微软雅黑" w:hAnsi="微软雅黑" w:cs="宋体"/>
                <w:kern w:val="0"/>
                <w:szCs w:val="21"/>
              </w:rPr>
            </w:pPr>
          </w:p>
        </w:tc>
        <w:tc>
          <w:tcPr>
            <w:tcW w:w="1620" w:type="dxa"/>
            <w:vAlign w:val="center"/>
            <w:hideMark/>
          </w:tcPr>
          <w:p w14:paraId="5A460CE1"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楼（屋）盖构件</w:t>
            </w:r>
          </w:p>
        </w:tc>
        <w:tc>
          <w:tcPr>
            <w:tcW w:w="2250" w:type="dxa"/>
            <w:vAlign w:val="center"/>
            <w:hideMark/>
          </w:tcPr>
          <w:p w14:paraId="4C68FCDD"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梁、板、楼梯、阳台、空调板等</w:t>
            </w:r>
            <w:r w:rsidRPr="00EE46C8">
              <w:rPr>
                <w:rFonts w:ascii="微软雅黑" w:eastAsia="微软雅黑" w:hAnsi="微软雅黑" w:cs="宋体" w:hint="eastAsia"/>
                <w:i/>
                <w:iCs/>
                <w:kern w:val="0"/>
                <w:szCs w:val="21"/>
              </w:rPr>
              <w:t>Q</w:t>
            </w:r>
            <w:r w:rsidRPr="00EE46C8">
              <w:rPr>
                <w:rFonts w:ascii="微软雅黑" w:eastAsia="微软雅黑" w:hAnsi="微软雅黑" w:cs="宋体" w:hint="eastAsia"/>
                <w:i/>
                <w:iCs/>
                <w:kern w:val="0"/>
                <w:szCs w:val="21"/>
                <w:vertAlign w:val="subscript"/>
              </w:rPr>
              <w:t>3</w:t>
            </w:r>
          </w:p>
        </w:tc>
        <w:tc>
          <w:tcPr>
            <w:tcW w:w="1620" w:type="dxa"/>
            <w:vAlign w:val="center"/>
            <w:hideMark/>
          </w:tcPr>
          <w:p w14:paraId="72B97E0D"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比例≥70%</w:t>
            </w:r>
          </w:p>
        </w:tc>
        <w:tc>
          <w:tcPr>
            <w:tcW w:w="2250" w:type="dxa"/>
            <w:vAlign w:val="center"/>
            <w:hideMark/>
          </w:tcPr>
          <w:p w14:paraId="5125BBC6"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0.20</w:t>
            </w:r>
          </w:p>
        </w:tc>
      </w:tr>
      <w:tr w:rsidR="00EE46C8" w:rsidRPr="00EE46C8" w14:paraId="3B5E702B" w14:textId="77777777" w:rsidTr="00EE46C8">
        <w:trPr>
          <w:tblCellSpacing w:w="15" w:type="dxa"/>
        </w:trPr>
        <w:tc>
          <w:tcPr>
            <w:tcW w:w="900" w:type="dxa"/>
            <w:vMerge w:val="restart"/>
            <w:vAlign w:val="center"/>
            <w:hideMark/>
          </w:tcPr>
          <w:p w14:paraId="5E434FAC"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非承重构件</w:t>
            </w:r>
          </w:p>
        </w:tc>
        <w:tc>
          <w:tcPr>
            <w:tcW w:w="3870" w:type="dxa"/>
            <w:gridSpan w:val="2"/>
            <w:vAlign w:val="center"/>
            <w:hideMark/>
          </w:tcPr>
          <w:p w14:paraId="575451D3"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非砌筑外围护墙</w:t>
            </w:r>
            <w:r w:rsidRPr="00EE46C8">
              <w:rPr>
                <w:rFonts w:ascii="微软雅黑" w:eastAsia="微软雅黑" w:hAnsi="微软雅黑" w:cs="宋体" w:hint="eastAsia"/>
                <w:i/>
                <w:iCs/>
                <w:kern w:val="0"/>
                <w:szCs w:val="21"/>
              </w:rPr>
              <w:t>Q</w:t>
            </w:r>
            <w:r w:rsidRPr="00EE46C8">
              <w:rPr>
                <w:rFonts w:ascii="微软雅黑" w:eastAsia="微软雅黑" w:hAnsi="微软雅黑" w:cs="宋体" w:hint="eastAsia"/>
                <w:i/>
                <w:iCs/>
                <w:kern w:val="0"/>
                <w:szCs w:val="21"/>
                <w:vertAlign w:val="subscript"/>
              </w:rPr>
              <w:t>4</w:t>
            </w:r>
          </w:p>
        </w:tc>
        <w:tc>
          <w:tcPr>
            <w:tcW w:w="1620" w:type="dxa"/>
            <w:vAlign w:val="center"/>
            <w:hideMark/>
          </w:tcPr>
          <w:p w14:paraId="58D3EB69"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比例≥80%</w:t>
            </w:r>
          </w:p>
        </w:tc>
        <w:tc>
          <w:tcPr>
            <w:tcW w:w="2250" w:type="dxa"/>
            <w:vAlign w:val="center"/>
            <w:hideMark/>
          </w:tcPr>
          <w:p w14:paraId="54FAFA3A"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0.15</w:t>
            </w:r>
          </w:p>
        </w:tc>
      </w:tr>
      <w:tr w:rsidR="00EE46C8" w:rsidRPr="00EE46C8" w14:paraId="1DFA3FAB" w14:textId="77777777" w:rsidTr="00EE46C8">
        <w:trPr>
          <w:tblCellSpacing w:w="15" w:type="dxa"/>
        </w:trPr>
        <w:tc>
          <w:tcPr>
            <w:tcW w:w="0" w:type="auto"/>
            <w:vMerge/>
            <w:vAlign w:val="center"/>
            <w:hideMark/>
          </w:tcPr>
          <w:p w14:paraId="3101E715" w14:textId="77777777" w:rsidR="00EE46C8" w:rsidRPr="00EE46C8" w:rsidRDefault="00EE46C8" w:rsidP="00EE46C8">
            <w:pPr>
              <w:widowControl/>
              <w:jc w:val="left"/>
              <w:rPr>
                <w:rFonts w:ascii="微软雅黑" w:eastAsia="微软雅黑" w:hAnsi="微软雅黑" w:cs="宋体"/>
                <w:kern w:val="0"/>
                <w:szCs w:val="21"/>
              </w:rPr>
            </w:pPr>
          </w:p>
        </w:tc>
        <w:tc>
          <w:tcPr>
            <w:tcW w:w="3870" w:type="dxa"/>
            <w:gridSpan w:val="2"/>
            <w:vAlign w:val="center"/>
            <w:hideMark/>
          </w:tcPr>
          <w:p w14:paraId="310AD2B8"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非砌筑分户墙、内隔墙</w:t>
            </w:r>
            <w:r w:rsidRPr="00EE46C8">
              <w:rPr>
                <w:rFonts w:ascii="微软雅黑" w:eastAsia="微软雅黑" w:hAnsi="微软雅黑" w:cs="宋体" w:hint="eastAsia"/>
                <w:i/>
                <w:iCs/>
                <w:kern w:val="0"/>
                <w:szCs w:val="21"/>
              </w:rPr>
              <w:t>Q</w:t>
            </w:r>
            <w:r w:rsidRPr="00EE46C8">
              <w:rPr>
                <w:rFonts w:ascii="微软雅黑" w:eastAsia="微软雅黑" w:hAnsi="微软雅黑" w:cs="宋体" w:hint="eastAsia"/>
                <w:i/>
                <w:iCs/>
                <w:kern w:val="0"/>
                <w:szCs w:val="21"/>
                <w:vertAlign w:val="subscript"/>
              </w:rPr>
              <w:t>5</w:t>
            </w:r>
          </w:p>
        </w:tc>
        <w:tc>
          <w:tcPr>
            <w:tcW w:w="1620" w:type="dxa"/>
            <w:vAlign w:val="center"/>
            <w:hideMark/>
          </w:tcPr>
          <w:p w14:paraId="07429844"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比例≥50%</w:t>
            </w:r>
          </w:p>
        </w:tc>
        <w:tc>
          <w:tcPr>
            <w:tcW w:w="2250" w:type="dxa"/>
            <w:vAlign w:val="center"/>
            <w:hideMark/>
          </w:tcPr>
          <w:p w14:paraId="20D81DC1"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0.15</w:t>
            </w:r>
          </w:p>
        </w:tc>
      </w:tr>
      <w:tr w:rsidR="00EE46C8" w:rsidRPr="00EE46C8" w14:paraId="5C6CEBFB" w14:textId="77777777" w:rsidTr="00EE46C8">
        <w:trPr>
          <w:tblCellSpacing w:w="15" w:type="dxa"/>
        </w:trPr>
        <w:tc>
          <w:tcPr>
            <w:tcW w:w="900" w:type="dxa"/>
            <w:vMerge w:val="restart"/>
            <w:vAlign w:val="center"/>
            <w:hideMark/>
          </w:tcPr>
          <w:p w14:paraId="246952B2"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建筑装修</w:t>
            </w:r>
          </w:p>
        </w:tc>
        <w:tc>
          <w:tcPr>
            <w:tcW w:w="3870" w:type="dxa"/>
            <w:gridSpan w:val="2"/>
            <w:vAlign w:val="center"/>
            <w:hideMark/>
          </w:tcPr>
          <w:p w14:paraId="77964CC1"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固定面装修</w:t>
            </w:r>
            <w:r w:rsidRPr="00EE46C8">
              <w:rPr>
                <w:rFonts w:ascii="微软雅黑" w:eastAsia="微软雅黑" w:hAnsi="微软雅黑" w:cs="宋体" w:hint="eastAsia"/>
                <w:i/>
                <w:iCs/>
                <w:kern w:val="0"/>
                <w:szCs w:val="21"/>
              </w:rPr>
              <w:t>Q</w:t>
            </w:r>
            <w:r w:rsidRPr="00EE46C8">
              <w:rPr>
                <w:rFonts w:ascii="微软雅黑" w:eastAsia="微软雅黑" w:hAnsi="微软雅黑" w:cs="宋体" w:hint="eastAsia"/>
                <w:i/>
                <w:iCs/>
                <w:kern w:val="0"/>
                <w:szCs w:val="21"/>
                <w:vertAlign w:val="subscript"/>
              </w:rPr>
              <w:t>6</w:t>
            </w:r>
          </w:p>
        </w:tc>
        <w:tc>
          <w:tcPr>
            <w:tcW w:w="1620" w:type="dxa"/>
            <w:vMerge w:val="restart"/>
            <w:vAlign w:val="center"/>
            <w:hideMark/>
          </w:tcPr>
          <w:p w14:paraId="5C0B7D00"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建筑装修率≥50%</w:t>
            </w:r>
          </w:p>
        </w:tc>
        <w:tc>
          <w:tcPr>
            <w:tcW w:w="2250" w:type="dxa"/>
            <w:vAlign w:val="center"/>
            <w:hideMark/>
          </w:tcPr>
          <w:p w14:paraId="3FC750A0"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0.10</w:t>
            </w:r>
          </w:p>
        </w:tc>
      </w:tr>
      <w:tr w:rsidR="00EE46C8" w:rsidRPr="00EE46C8" w14:paraId="51345BA9" w14:textId="77777777" w:rsidTr="00EE46C8">
        <w:trPr>
          <w:tblCellSpacing w:w="15" w:type="dxa"/>
        </w:trPr>
        <w:tc>
          <w:tcPr>
            <w:tcW w:w="0" w:type="auto"/>
            <w:vMerge/>
            <w:vAlign w:val="center"/>
            <w:hideMark/>
          </w:tcPr>
          <w:p w14:paraId="59A5DE90" w14:textId="77777777" w:rsidR="00EE46C8" w:rsidRPr="00EE46C8" w:rsidRDefault="00EE46C8" w:rsidP="00EE46C8">
            <w:pPr>
              <w:widowControl/>
              <w:jc w:val="left"/>
              <w:rPr>
                <w:rFonts w:ascii="微软雅黑" w:eastAsia="微软雅黑" w:hAnsi="微软雅黑" w:cs="宋体"/>
                <w:kern w:val="0"/>
                <w:szCs w:val="21"/>
              </w:rPr>
            </w:pPr>
          </w:p>
        </w:tc>
        <w:tc>
          <w:tcPr>
            <w:tcW w:w="3870" w:type="dxa"/>
            <w:gridSpan w:val="2"/>
            <w:vAlign w:val="center"/>
            <w:hideMark/>
          </w:tcPr>
          <w:p w14:paraId="4B58271C"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设备设施</w:t>
            </w:r>
            <w:r w:rsidRPr="00EE46C8">
              <w:rPr>
                <w:rFonts w:ascii="微软雅黑" w:eastAsia="微软雅黑" w:hAnsi="微软雅黑" w:cs="宋体" w:hint="eastAsia"/>
                <w:i/>
                <w:iCs/>
                <w:kern w:val="0"/>
                <w:szCs w:val="21"/>
              </w:rPr>
              <w:t>Q</w:t>
            </w:r>
            <w:r w:rsidRPr="00EE46C8">
              <w:rPr>
                <w:rFonts w:ascii="微软雅黑" w:eastAsia="微软雅黑" w:hAnsi="微软雅黑" w:cs="宋体" w:hint="eastAsia"/>
                <w:i/>
                <w:iCs/>
                <w:kern w:val="0"/>
                <w:szCs w:val="21"/>
                <w:vertAlign w:val="subscript"/>
              </w:rPr>
              <w:t>7</w:t>
            </w:r>
          </w:p>
        </w:tc>
        <w:tc>
          <w:tcPr>
            <w:tcW w:w="0" w:type="auto"/>
            <w:vMerge/>
            <w:vAlign w:val="center"/>
            <w:hideMark/>
          </w:tcPr>
          <w:p w14:paraId="0FE12D20" w14:textId="77777777" w:rsidR="00EE46C8" w:rsidRPr="00EE46C8" w:rsidRDefault="00EE46C8" w:rsidP="00EE46C8">
            <w:pPr>
              <w:widowControl/>
              <w:jc w:val="left"/>
              <w:rPr>
                <w:rFonts w:ascii="微软雅黑" w:eastAsia="微软雅黑" w:hAnsi="微软雅黑" w:cs="宋体"/>
                <w:kern w:val="0"/>
                <w:szCs w:val="21"/>
              </w:rPr>
            </w:pPr>
          </w:p>
        </w:tc>
        <w:tc>
          <w:tcPr>
            <w:tcW w:w="2250" w:type="dxa"/>
            <w:vAlign w:val="center"/>
            <w:hideMark/>
          </w:tcPr>
          <w:p w14:paraId="4C8CD0D5"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kern w:val="0"/>
                <w:szCs w:val="21"/>
              </w:rPr>
            </w:pPr>
            <w:r w:rsidRPr="00EE46C8">
              <w:rPr>
                <w:rFonts w:ascii="微软雅黑" w:eastAsia="微软雅黑" w:hAnsi="微软雅黑" w:cs="宋体" w:hint="eastAsia"/>
                <w:kern w:val="0"/>
                <w:szCs w:val="21"/>
              </w:rPr>
              <w:t>0.10</w:t>
            </w:r>
          </w:p>
        </w:tc>
      </w:tr>
    </w:tbl>
    <w:p w14:paraId="60AD4BE4"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注：</w:t>
      </w:r>
    </w:p>
    <w:p w14:paraId="73456070"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（1）上表所述钢-混凝土组合材料主要是指以</w:t>
      </w:r>
      <w:proofErr w:type="gramStart"/>
      <w:r w:rsidRPr="00EE46C8">
        <w:rPr>
          <w:rFonts w:ascii="微软雅黑" w:eastAsia="微软雅黑" w:hAnsi="微软雅黑" w:cs="宋体" w:hint="eastAsia"/>
          <w:color w:val="4C5157"/>
          <w:kern w:val="0"/>
          <w:sz w:val="24"/>
          <w:szCs w:val="24"/>
        </w:rPr>
        <w:t>钢管作钢外模</w:t>
      </w:r>
      <w:proofErr w:type="gramEnd"/>
      <w:r w:rsidRPr="00EE46C8">
        <w:rPr>
          <w:rFonts w:ascii="微软雅黑" w:eastAsia="微软雅黑" w:hAnsi="微软雅黑" w:cs="宋体" w:hint="eastAsia"/>
          <w:color w:val="4C5157"/>
          <w:kern w:val="0"/>
          <w:sz w:val="24"/>
          <w:szCs w:val="24"/>
        </w:rPr>
        <w:t>，现场内灌混凝土并最终由钢材与混凝土协同整体受力的材料形式，不包括无外包钢管的劲性钢骨混凝土材料。</w:t>
      </w:r>
    </w:p>
    <w:p w14:paraId="47919722"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（2）非砌筑类型墙体包括采用各种中大型板材、幕墙及复合材料的成品或半成品复合墙体等，满足工厂生产、现场安装、以“干法”施工为主的要求。</w:t>
      </w:r>
    </w:p>
    <w:p w14:paraId="375FC34D"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（3）建筑装修为相关功能空间的固定面装修和设备设施部分或全部安装完成，达到一定建筑使用功能和建筑性能的状态。其中固定面装修一般是</w:t>
      </w:r>
      <w:proofErr w:type="gramStart"/>
      <w:r w:rsidRPr="00EE46C8">
        <w:rPr>
          <w:rFonts w:ascii="微软雅黑" w:eastAsia="微软雅黑" w:hAnsi="微软雅黑" w:cs="宋体" w:hint="eastAsia"/>
          <w:color w:val="4C5157"/>
          <w:kern w:val="0"/>
          <w:sz w:val="24"/>
          <w:szCs w:val="24"/>
        </w:rPr>
        <w:t>指不可</w:t>
      </w:r>
      <w:proofErr w:type="gramEnd"/>
      <w:r w:rsidRPr="00EE46C8">
        <w:rPr>
          <w:rFonts w:ascii="微软雅黑" w:eastAsia="微软雅黑" w:hAnsi="微软雅黑" w:cs="宋体" w:hint="eastAsia"/>
          <w:color w:val="4C5157"/>
          <w:kern w:val="0"/>
          <w:sz w:val="24"/>
          <w:szCs w:val="24"/>
        </w:rPr>
        <w:t>移动</w:t>
      </w:r>
      <w:r w:rsidRPr="00EE46C8">
        <w:rPr>
          <w:rFonts w:ascii="微软雅黑" w:eastAsia="微软雅黑" w:hAnsi="微软雅黑" w:cs="宋体" w:hint="eastAsia"/>
          <w:b/>
          <w:bCs/>
          <w:color w:val="4C5157"/>
          <w:kern w:val="0"/>
          <w:sz w:val="24"/>
          <w:szCs w:val="24"/>
        </w:rPr>
        <w:t>或者不可或缺的装修物件或项</w:t>
      </w:r>
      <w:r w:rsidRPr="00EE46C8">
        <w:rPr>
          <w:rFonts w:ascii="微软雅黑" w:eastAsia="微软雅黑" w:hAnsi="微软雅黑" w:cs="宋体" w:hint="eastAsia"/>
          <w:color w:val="4C5157"/>
          <w:kern w:val="0"/>
          <w:sz w:val="24"/>
          <w:szCs w:val="24"/>
        </w:rPr>
        <w:t>目，常见的有地板、吊顶、门窗、不可移动橱柜、内外墙面处理等。</w:t>
      </w:r>
    </w:p>
    <w:p w14:paraId="6FD4338B"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lastRenderedPageBreak/>
        <w:t>2.竖向承重构件应用比例计算方法：</w:t>
      </w:r>
    </w:p>
    <w:p w14:paraId="3ACA3BC8"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t>（1）竖向承重构件主要为混凝土材料时，按下列公式进行计算：</w:t>
      </w:r>
    </w:p>
    <w:p w14:paraId="7B642ADD"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Q</w:t>
      </w:r>
      <w:r w:rsidRPr="00EE46C8">
        <w:rPr>
          <w:rFonts w:ascii="微软雅黑" w:eastAsia="微软雅黑" w:hAnsi="微软雅黑" w:cs="宋体" w:hint="eastAsia"/>
          <w:i/>
          <w:iCs/>
          <w:color w:val="4C5157"/>
          <w:kern w:val="0"/>
          <w:sz w:val="24"/>
          <w:szCs w:val="24"/>
          <w:vertAlign w:val="subscript"/>
        </w:rPr>
        <w:t>1</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V</w:t>
      </w:r>
      <w:r w:rsidRPr="00EE46C8">
        <w:rPr>
          <w:rFonts w:ascii="微软雅黑" w:eastAsia="微软雅黑" w:hAnsi="微软雅黑" w:cs="宋体" w:hint="eastAsia"/>
          <w:i/>
          <w:iCs/>
          <w:color w:val="4C5157"/>
          <w:kern w:val="0"/>
          <w:sz w:val="24"/>
          <w:szCs w:val="24"/>
          <w:vertAlign w:val="subscript"/>
        </w:rPr>
        <w:t>1</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V</w:t>
      </w:r>
      <w:r w:rsidRPr="00EE46C8">
        <w:rPr>
          <w:rFonts w:ascii="微软雅黑" w:eastAsia="微软雅黑" w:hAnsi="微软雅黑" w:cs="宋体" w:hint="eastAsia"/>
          <w:color w:val="4C5157"/>
          <w:kern w:val="0"/>
          <w:sz w:val="24"/>
          <w:szCs w:val="24"/>
        </w:rPr>
        <w:t>×100%</w:t>
      </w:r>
    </w:p>
    <w:p w14:paraId="4CCD5DDD"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式中：</w:t>
      </w:r>
      <w:r w:rsidRPr="00EE46C8">
        <w:rPr>
          <w:rFonts w:ascii="微软雅黑" w:eastAsia="微软雅黑" w:hAnsi="微软雅黑" w:cs="宋体" w:hint="eastAsia"/>
          <w:i/>
          <w:iCs/>
          <w:color w:val="4C5157"/>
          <w:kern w:val="0"/>
          <w:sz w:val="24"/>
          <w:szCs w:val="24"/>
        </w:rPr>
        <w:t>Q</w:t>
      </w:r>
      <w:r w:rsidRPr="00EE46C8">
        <w:rPr>
          <w:rFonts w:ascii="微软雅黑" w:eastAsia="微软雅黑" w:hAnsi="微软雅黑" w:cs="宋体" w:hint="eastAsia"/>
          <w:i/>
          <w:iCs/>
          <w:color w:val="4C5157"/>
          <w:kern w:val="0"/>
          <w:sz w:val="24"/>
          <w:szCs w:val="24"/>
          <w:vertAlign w:val="subscript"/>
        </w:rPr>
        <w:t>1</w:t>
      </w:r>
      <w:r w:rsidRPr="00EE46C8">
        <w:rPr>
          <w:rFonts w:ascii="微软雅黑" w:eastAsia="微软雅黑" w:hAnsi="微软雅黑" w:cs="宋体" w:hint="eastAsia"/>
          <w:color w:val="4C5157"/>
          <w:kern w:val="0"/>
          <w:sz w:val="24"/>
          <w:szCs w:val="24"/>
        </w:rPr>
        <w:t>──竖向承重构件中采用混凝土</w:t>
      </w:r>
      <w:proofErr w:type="gramStart"/>
      <w:r w:rsidRPr="00EE46C8">
        <w:rPr>
          <w:rFonts w:ascii="微软雅黑" w:eastAsia="微软雅黑" w:hAnsi="微软雅黑" w:cs="宋体" w:hint="eastAsia"/>
          <w:color w:val="4C5157"/>
          <w:kern w:val="0"/>
          <w:sz w:val="24"/>
          <w:szCs w:val="24"/>
        </w:rPr>
        <w:t>预制部</w:t>
      </w:r>
      <w:proofErr w:type="gramEnd"/>
      <w:r w:rsidRPr="00EE46C8">
        <w:rPr>
          <w:rFonts w:ascii="微软雅黑" w:eastAsia="微软雅黑" w:hAnsi="微软雅黑" w:cs="宋体" w:hint="eastAsia"/>
          <w:color w:val="4C5157"/>
          <w:kern w:val="0"/>
          <w:sz w:val="24"/>
          <w:szCs w:val="24"/>
        </w:rPr>
        <w:t>品部件的应用比例；</w:t>
      </w:r>
    </w:p>
    <w:p w14:paraId="7D96D19B"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V</w:t>
      </w:r>
      <w:r w:rsidRPr="00EE46C8">
        <w:rPr>
          <w:rFonts w:ascii="微软雅黑" w:eastAsia="微软雅黑" w:hAnsi="微软雅黑" w:cs="宋体" w:hint="eastAsia"/>
          <w:i/>
          <w:iCs/>
          <w:color w:val="4C5157"/>
          <w:kern w:val="0"/>
          <w:sz w:val="24"/>
          <w:szCs w:val="24"/>
          <w:vertAlign w:val="subscript"/>
        </w:rPr>
        <w:t>1</w:t>
      </w:r>
      <w:r w:rsidRPr="00EE46C8">
        <w:rPr>
          <w:rFonts w:ascii="微软雅黑" w:eastAsia="微软雅黑" w:hAnsi="微软雅黑" w:cs="宋体" w:hint="eastAsia"/>
          <w:color w:val="4C5157"/>
          <w:kern w:val="0"/>
          <w:sz w:val="24"/>
          <w:szCs w:val="24"/>
        </w:rPr>
        <w:t>──建筑±0.000标高以上，竖向承重构件中列入装配方式计算的现浇混凝土和预制混凝土体积之和；</w:t>
      </w:r>
    </w:p>
    <w:p w14:paraId="1DF41DD9"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V</w:t>
      </w:r>
      <w:r w:rsidRPr="00EE46C8">
        <w:rPr>
          <w:rFonts w:ascii="微软雅黑" w:eastAsia="微软雅黑" w:hAnsi="微软雅黑" w:cs="宋体" w:hint="eastAsia"/>
          <w:color w:val="4C5157"/>
          <w:kern w:val="0"/>
          <w:sz w:val="24"/>
          <w:szCs w:val="24"/>
        </w:rPr>
        <w:t>──建筑±0.000标高以上，竖向承重构件混凝土总体积。</w:t>
      </w:r>
    </w:p>
    <w:p w14:paraId="3929CF18"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注：</w:t>
      </w:r>
    </w:p>
    <w:p w14:paraId="13FAAD94"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对于剪力墙结构，预制剪力墙板之间的</w:t>
      </w:r>
      <w:proofErr w:type="gramStart"/>
      <w:r w:rsidRPr="00EE46C8">
        <w:rPr>
          <w:rFonts w:ascii="微软雅黑" w:eastAsia="微软雅黑" w:hAnsi="微软雅黑" w:cs="宋体" w:hint="eastAsia"/>
          <w:color w:val="4C5157"/>
          <w:kern w:val="0"/>
          <w:sz w:val="24"/>
          <w:szCs w:val="24"/>
        </w:rPr>
        <w:t>后浇段的</w:t>
      </w:r>
      <w:proofErr w:type="gramEnd"/>
      <w:r w:rsidRPr="00EE46C8">
        <w:rPr>
          <w:rFonts w:ascii="微软雅黑" w:eastAsia="微软雅黑" w:hAnsi="微软雅黑" w:cs="宋体" w:hint="eastAsia"/>
          <w:color w:val="4C5157"/>
          <w:kern w:val="0"/>
          <w:sz w:val="24"/>
          <w:szCs w:val="24"/>
        </w:rPr>
        <w:t>尺寸满足图1所</w:t>
      </w:r>
      <w:proofErr w:type="gramStart"/>
      <w:r w:rsidRPr="00EE46C8">
        <w:rPr>
          <w:rFonts w:ascii="微软雅黑" w:eastAsia="微软雅黑" w:hAnsi="微软雅黑" w:cs="宋体" w:hint="eastAsia"/>
          <w:color w:val="4C5157"/>
          <w:kern w:val="0"/>
          <w:sz w:val="24"/>
          <w:szCs w:val="24"/>
        </w:rPr>
        <w:t>示要求</w:t>
      </w:r>
      <w:proofErr w:type="gramEnd"/>
      <w:r w:rsidRPr="00EE46C8">
        <w:rPr>
          <w:rFonts w:ascii="微软雅黑" w:eastAsia="微软雅黑" w:hAnsi="微软雅黑" w:cs="宋体" w:hint="eastAsia"/>
          <w:color w:val="4C5157"/>
          <w:kern w:val="0"/>
          <w:sz w:val="24"/>
          <w:szCs w:val="24"/>
        </w:rPr>
        <w:t>时，该部分现浇混凝土可计入</w:t>
      </w:r>
      <w:r w:rsidRPr="00EE46C8">
        <w:rPr>
          <w:rFonts w:ascii="微软雅黑" w:eastAsia="微软雅黑" w:hAnsi="微软雅黑" w:cs="宋体" w:hint="eastAsia"/>
          <w:i/>
          <w:iCs/>
          <w:color w:val="4C5157"/>
          <w:kern w:val="0"/>
          <w:sz w:val="24"/>
          <w:szCs w:val="24"/>
        </w:rPr>
        <w:t>V</w:t>
      </w:r>
      <w:r w:rsidRPr="00EE46C8">
        <w:rPr>
          <w:rFonts w:ascii="微软雅黑" w:eastAsia="微软雅黑" w:hAnsi="微软雅黑" w:cs="宋体" w:hint="eastAsia"/>
          <w:i/>
          <w:iCs/>
          <w:color w:val="4C5157"/>
          <w:kern w:val="0"/>
          <w:sz w:val="24"/>
          <w:szCs w:val="24"/>
          <w:vertAlign w:val="subscript"/>
        </w:rPr>
        <w:t>1</w:t>
      </w:r>
      <w:r w:rsidRPr="00EE46C8">
        <w:rPr>
          <w:rFonts w:ascii="微软雅黑" w:eastAsia="微软雅黑" w:hAnsi="微软雅黑" w:cs="宋体" w:hint="eastAsia"/>
          <w:color w:val="4C5157"/>
          <w:kern w:val="0"/>
          <w:sz w:val="24"/>
          <w:szCs w:val="24"/>
        </w:rPr>
        <w:t>中（尺寸超出图中限值时，超出部分不予考虑），预制剪力墙板</w:t>
      </w:r>
      <w:proofErr w:type="gramStart"/>
      <w:r w:rsidRPr="00EE46C8">
        <w:rPr>
          <w:rFonts w:ascii="微软雅黑" w:eastAsia="微软雅黑" w:hAnsi="微软雅黑" w:cs="宋体" w:hint="eastAsia"/>
          <w:color w:val="4C5157"/>
          <w:kern w:val="0"/>
          <w:sz w:val="24"/>
          <w:szCs w:val="24"/>
        </w:rPr>
        <w:t>布置区</w:t>
      </w:r>
      <w:proofErr w:type="gramEnd"/>
      <w:r w:rsidRPr="00EE46C8">
        <w:rPr>
          <w:rFonts w:ascii="微软雅黑" w:eastAsia="微软雅黑" w:hAnsi="微软雅黑" w:cs="宋体" w:hint="eastAsia"/>
          <w:color w:val="4C5157"/>
          <w:kern w:val="0"/>
          <w:sz w:val="24"/>
          <w:szCs w:val="24"/>
        </w:rPr>
        <w:t>域的水平现浇带（圈梁）部分现浇混凝土可计入</w:t>
      </w:r>
      <w:r w:rsidRPr="00EE46C8">
        <w:rPr>
          <w:rFonts w:ascii="微软雅黑" w:eastAsia="微软雅黑" w:hAnsi="微软雅黑" w:cs="宋体" w:hint="eastAsia"/>
          <w:i/>
          <w:iCs/>
          <w:color w:val="4C5157"/>
          <w:kern w:val="0"/>
          <w:sz w:val="24"/>
          <w:szCs w:val="24"/>
        </w:rPr>
        <w:t>V</w:t>
      </w:r>
      <w:r w:rsidRPr="00EE46C8">
        <w:rPr>
          <w:rFonts w:ascii="微软雅黑" w:eastAsia="微软雅黑" w:hAnsi="微软雅黑" w:cs="宋体" w:hint="eastAsia"/>
          <w:i/>
          <w:iCs/>
          <w:color w:val="4C5157"/>
          <w:kern w:val="0"/>
          <w:sz w:val="24"/>
          <w:szCs w:val="24"/>
          <w:vertAlign w:val="subscript"/>
        </w:rPr>
        <w:t>1</w:t>
      </w:r>
      <w:r w:rsidRPr="00EE46C8">
        <w:rPr>
          <w:rFonts w:ascii="微软雅黑" w:eastAsia="微软雅黑" w:hAnsi="微软雅黑" w:cs="宋体" w:hint="eastAsia"/>
          <w:color w:val="4C5157"/>
          <w:kern w:val="0"/>
          <w:sz w:val="24"/>
          <w:szCs w:val="24"/>
        </w:rPr>
        <w:t>中。</w:t>
      </w:r>
    </w:p>
    <w:p w14:paraId="12E1C2C9"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对于框架结构，预制框架柱在梁柱节点区连接时，梁柱节点区的现浇混凝土可计入</w:t>
      </w:r>
      <w:r w:rsidRPr="00EE46C8">
        <w:rPr>
          <w:rFonts w:ascii="微软雅黑" w:eastAsia="微软雅黑" w:hAnsi="微软雅黑" w:cs="宋体" w:hint="eastAsia"/>
          <w:i/>
          <w:iCs/>
          <w:color w:val="4C5157"/>
          <w:kern w:val="0"/>
          <w:sz w:val="24"/>
          <w:szCs w:val="24"/>
        </w:rPr>
        <w:t>V</w:t>
      </w:r>
      <w:r w:rsidRPr="00EE46C8">
        <w:rPr>
          <w:rFonts w:ascii="微软雅黑" w:eastAsia="微软雅黑" w:hAnsi="微软雅黑" w:cs="宋体" w:hint="eastAsia"/>
          <w:i/>
          <w:iCs/>
          <w:color w:val="4C5157"/>
          <w:kern w:val="0"/>
          <w:sz w:val="24"/>
          <w:szCs w:val="24"/>
          <w:vertAlign w:val="subscript"/>
        </w:rPr>
        <w:t>1</w:t>
      </w:r>
      <w:r w:rsidRPr="00EE46C8">
        <w:rPr>
          <w:rFonts w:ascii="微软雅黑" w:eastAsia="微软雅黑" w:hAnsi="微软雅黑" w:cs="宋体" w:hint="eastAsia"/>
          <w:color w:val="4C5157"/>
          <w:kern w:val="0"/>
          <w:sz w:val="24"/>
          <w:szCs w:val="24"/>
        </w:rPr>
        <w:t>，预制框架柱在柱身范围内连接时，连接区长度尺寸不大于柱截面宽度和高度的</w:t>
      </w:r>
      <w:proofErr w:type="gramStart"/>
      <w:r w:rsidRPr="00EE46C8">
        <w:rPr>
          <w:rFonts w:ascii="微软雅黑" w:eastAsia="微软雅黑" w:hAnsi="微软雅黑" w:cs="宋体" w:hint="eastAsia"/>
          <w:color w:val="4C5157"/>
          <w:kern w:val="0"/>
          <w:sz w:val="24"/>
          <w:szCs w:val="24"/>
        </w:rPr>
        <w:t>较小值</w:t>
      </w:r>
      <w:proofErr w:type="gramEnd"/>
      <w:r w:rsidRPr="00EE46C8">
        <w:rPr>
          <w:rFonts w:ascii="微软雅黑" w:eastAsia="微软雅黑" w:hAnsi="微软雅黑" w:cs="宋体" w:hint="eastAsia"/>
          <w:color w:val="4C5157"/>
          <w:kern w:val="0"/>
          <w:sz w:val="24"/>
          <w:szCs w:val="24"/>
        </w:rPr>
        <w:t>时，</w:t>
      </w:r>
      <w:proofErr w:type="gramStart"/>
      <w:r w:rsidRPr="00EE46C8">
        <w:rPr>
          <w:rFonts w:ascii="微软雅黑" w:eastAsia="微软雅黑" w:hAnsi="微软雅黑" w:cs="宋体" w:hint="eastAsia"/>
          <w:color w:val="4C5157"/>
          <w:kern w:val="0"/>
          <w:sz w:val="24"/>
          <w:szCs w:val="24"/>
        </w:rPr>
        <w:t>连接区</w:t>
      </w:r>
      <w:proofErr w:type="gramEnd"/>
      <w:r w:rsidRPr="00EE46C8">
        <w:rPr>
          <w:rFonts w:ascii="微软雅黑" w:eastAsia="微软雅黑" w:hAnsi="微软雅黑" w:cs="宋体" w:hint="eastAsia"/>
          <w:color w:val="4C5157"/>
          <w:kern w:val="0"/>
          <w:sz w:val="24"/>
          <w:szCs w:val="24"/>
        </w:rPr>
        <w:t>现浇混凝土可计入</w:t>
      </w:r>
      <w:r w:rsidRPr="00EE46C8">
        <w:rPr>
          <w:rFonts w:ascii="微软雅黑" w:eastAsia="微软雅黑" w:hAnsi="微软雅黑" w:cs="宋体" w:hint="eastAsia"/>
          <w:i/>
          <w:iCs/>
          <w:color w:val="4C5157"/>
          <w:kern w:val="0"/>
          <w:sz w:val="24"/>
          <w:szCs w:val="24"/>
        </w:rPr>
        <w:t>V</w:t>
      </w:r>
      <w:r w:rsidRPr="00EE46C8">
        <w:rPr>
          <w:rFonts w:ascii="微软雅黑" w:eastAsia="微软雅黑" w:hAnsi="微软雅黑" w:cs="宋体" w:hint="eastAsia"/>
          <w:i/>
          <w:iCs/>
          <w:color w:val="4C5157"/>
          <w:kern w:val="0"/>
          <w:sz w:val="24"/>
          <w:szCs w:val="24"/>
          <w:vertAlign w:val="subscript"/>
        </w:rPr>
        <w:t>1</w:t>
      </w:r>
      <w:r w:rsidRPr="00EE46C8">
        <w:rPr>
          <w:rFonts w:ascii="微软雅黑" w:eastAsia="微软雅黑" w:hAnsi="微软雅黑" w:cs="宋体" w:hint="eastAsia"/>
          <w:color w:val="4C5157"/>
          <w:kern w:val="0"/>
          <w:sz w:val="24"/>
          <w:szCs w:val="24"/>
        </w:rPr>
        <w:t>中。</w:t>
      </w:r>
    </w:p>
    <w:p w14:paraId="79FA5F73"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i/>
          <w:iCs/>
          <w:color w:val="4C5157"/>
          <w:kern w:val="0"/>
          <w:sz w:val="24"/>
          <w:szCs w:val="24"/>
          <w:vertAlign w:val="subscript"/>
        </w:rPr>
        <w:t>1、</w:t>
      </w: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i/>
          <w:iCs/>
          <w:color w:val="4C5157"/>
          <w:kern w:val="0"/>
          <w:sz w:val="24"/>
          <w:szCs w:val="24"/>
          <w:vertAlign w:val="subscript"/>
        </w:rPr>
        <w:t>2、</w:t>
      </w: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i/>
          <w:iCs/>
          <w:color w:val="4C5157"/>
          <w:kern w:val="0"/>
          <w:sz w:val="24"/>
          <w:szCs w:val="24"/>
          <w:vertAlign w:val="subscript"/>
        </w:rPr>
        <w:t>3、</w:t>
      </w: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i/>
          <w:iCs/>
          <w:color w:val="4C5157"/>
          <w:kern w:val="0"/>
          <w:sz w:val="24"/>
          <w:szCs w:val="24"/>
          <w:vertAlign w:val="subscript"/>
        </w:rPr>
        <w:t>4</w:t>
      </w:r>
      <w:r w:rsidRPr="00EE46C8">
        <w:rPr>
          <w:rFonts w:ascii="微软雅黑" w:eastAsia="微软雅黑" w:hAnsi="微软雅黑" w:cs="宋体" w:hint="eastAsia"/>
          <w:color w:val="4C5157"/>
          <w:kern w:val="0"/>
          <w:sz w:val="24"/>
          <w:szCs w:val="24"/>
        </w:rPr>
        <w:t>表示现浇混凝土</w:t>
      </w:r>
      <w:proofErr w:type="gramStart"/>
      <w:r w:rsidRPr="00EE46C8">
        <w:rPr>
          <w:rFonts w:ascii="微软雅黑" w:eastAsia="微软雅黑" w:hAnsi="微软雅黑" w:cs="宋体" w:hint="eastAsia"/>
          <w:color w:val="4C5157"/>
          <w:kern w:val="0"/>
          <w:sz w:val="24"/>
          <w:szCs w:val="24"/>
        </w:rPr>
        <w:t>后浇带长度</w:t>
      </w:r>
      <w:proofErr w:type="gramEnd"/>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b</w:t>
      </w:r>
      <w:r w:rsidRPr="00EE46C8">
        <w:rPr>
          <w:rFonts w:ascii="微软雅黑" w:eastAsia="微软雅黑" w:hAnsi="微软雅黑" w:cs="宋体" w:hint="eastAsia"/>
          <w:i/>
          <w:iCs/>
          <w:color w:val="4C5157"/>
          <w:kern w:val="0"/>
          <w:sz w:val="24"/>
          <w:szCs w:val="24"/>
          <w:vertAlign w:val="subscript"/>
        </w:rPr>
        <w:t>w</w:t>
      </w:r>
      <w:r w:rsidRPr="00EE46C8">
        <w:rPr>
          <w:rFonts w:ascii="微软雅黑" w:eastAsia="微软雅黑" w:hAnsi="微软雅黑" w:cs="宋体" w:hint="eastAsia"/>
          <w:color w:val="4C5157"/>
          <w:kern w:val="0"/>
          <w:sz w:val="24"/>
          <w:szCs w:val="24"/>
        </w:rPr>
        <w:t>表示现浇混凝土</w:t>
      </w:r>
      <w:proofErr w:type="gramStart"/>
      <w:r w:rsidRPr="00EE46C8">
        <w:rPr>
          <w:rFonts w:ascii="微软雅黑" w:eastAsia="微软雅黑" w:hAnsi="微软雅黑" w:cs="宋体" w:hint="eastAsia"/>
          <w:color w:val="4C5157"/>
          <w:kern w:val="0"/>
          <w:sz w:val="24"/>
          <w:szCs w:val="24"/>
        </w:rPr>
        <w:t>后浇带厚度</w:t>
      </w:r>
      <w:proofErr w:type="gramEnd"/>
    </w:p>
    <w:p w14:paraId="152CB518"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1—后浇段；2—预制剪力墙板</w:t>
      </w:r>
    </w:p>
    <w:p w14:paraId="6F2C0600"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t>图1 预制剪力墙板间</w:t>
      </w:r>
      <w:proofErr w:type="gramStart"/>
      <w:r w:rsidRPr="00EE46C8">
        <w:rPr>
          <w:rFonts w:ascii="微软雅黑" w:eastAsia="微软雅黑" w:hAnsi="微软雅黑" w:cs="宋体" w:hint="eastAsia"/>
          <w:b/>
          <w:bCs/>
          <w:color w:val="4C5157"/>
          <w:kern w:val="0"/>
          <w:sz w:val="24"/>
          <w:szCs w:val="24"/>
        </w:rPr>
        <w:t>后浇段现浇</w:t>
      </w:r>
      <w:proofErr w:type="gramEnd"/>
      <w:r w:rsidRPr="00EE46C8">
        <w:rPr>
          <w:rFonts w:ascii="微软雅黑" w:eastAsia="微软雅黑" w:hAnsi="微软雅黑" w:cs="宋体" w:hint="eastAsia"/>
          <w:b/>
          <w:bCs/>
          <w:color w:val="4C5157"/>
          <w:kern w:val="0"/>
          <w:sz w:val="24"/>
          <w:szCs w:val="24"/>
        </w:rPr>
        <w:t>混凝土计入装配的允许尺寸示意图</w:t>
      </w:r>
    </w:p>
    <w:p w14:paraId="06EF1541"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lastRenderedPageBreak/>
        <w:t>（2）竖向承重构件为</w:t>
      </w:r>
      <w:proofErr w:type="gramStart"/>
      <w:r w:rsidRPr="00EE46C8">
        <w:rPr>
          <w:rFonts w:ascii="微软雅黑" w:eastAsia="微软雅黑" w:hAnsi="微软雅黑" w:cs="宋体" w:hint="eastAsia"/>
          <w:b/>
          <w:bCs/>
          <w:color w:val="4C5157"/>
          <w:kern w:val="0"/>
          <w:sz w:val="24"/>
          <w:szCs w:val="24"/>
        </w:rPr>
        <w:t>金属材料及钢</w:t>
      </w:r>
      <w:proofErr w:type="gramEnd"/>
      <w:r w:rsidRPr="00EE46C8">
        <w:rPr>
          <w:rFonts w:ascii="微软雅黑" w:eastAsia="微软雅黑" w:hAnsi="微软雅黑" w:cs="宋体" w:hint="eastAsia"/>
          <w:b/>
          <w:bCs/>
          <w:color w:val="4C5157"/>
          <w:kern w:val="0"/>
          <w:sz w:val="24"/>
          <w:szCs w:val="24"/>
        </w:rPr>
        <w:t>-混凝土组合材料时，按下列公式计算：</w:t>
      </w:r>
    </w:p>
    <w:p w14:paraId="1D0F1DC8"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Q</w:t>
      </w:r>
      <w:r w:rsidRPr="00EE46C8">
        <w:rPr>
          <w:rFonts w:ascii="微软雅黑" w:eastAsia="微软雅黑" w:hAnsi="微软雅黑" w:cs="宋体" w:hint="eastAsia"/>
          <w:i/>
          <w:iCs/>
          <w:color w:val="4C5157"/>
          <w:kern w:val="0"/>
          <w:sz w:val="24"/>
          <w:szCs w:val="24"/>
          <w:vertAlign w:val="subscript"/>
        </w:rPr>
        <w:t>2</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i/>
          <w:iCs/>
          <w:color w:val="4C5157"/>
          <w:kern w:val="0"/>
          <w:sz w:val="24"/>
          <w:szCs w:val="24"/>
          <w:vertAlign w:val="subscript"/>
        </w:rPr>
        <w:t>2</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i/>
          <w:iCs/>
          <w:color w:val="4C5157"/>
          <w:kern w:val="0"/>
          <w:sz w:val="24"/>
          <w:szCs w:val="24"/>
          <w:vertAlign w:val="subscript"/>
        </w:rPr>
        <w:t>s</w:t>
      </w:r>
      <w:r w:rsidRPr="00EE46C8">
        <w:rPr>
          <w:rFonts w:ascii="微软雅黑" w:eastAsia="微软雅黑" w:hAnsi="微软雅黑" w:cs="宋体" w:hint="eastAsia"/>
          <w:color w:val="4C5157"/>
          <w:kern w:val="0"/>
          <w:sz w:val="24"/>
          <w:szCs w:val="24"/>
        </w:rPr>
        <w:t>×100%</w:t>
      </w:r>
    </w:p>
    <w:p w14:paraId="67F639DA"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式中：</w:t>
      </w:r>
      <w:r w:rsidRPr="00EE46C8">
        <w:rPr>
          <w:rFonts w:ascii="微软雅黑" w:eastAsia="微软雅黑" w:hAnsi="微软雅黑" w:cs="宋体" w:hint="eastAsia"/>
          <w:i/>
          <w:iCs/>
          <w:color w:val="4C5157"/>
          <w:kern w:val="0"/>
          <w:sz w:val="24"/>
          <w:szCs w:val="24"/>
        </w:rPr>
        <w:t>Q</w:t>
      </w:r>
      <w:r w:rsidRPr="00EE46C8">
        <w:rPr>
          <w:rFonts w:ascii="微软雅黑" w:eastAsia="微软雅黑" w:hAnsi="微软雅黑" w:cs="宋体" w:hint="eastAsia"/>
          <w:i/>
          <w:iCs/>
          <w:color w:val="4C5157"/>
          <w:kern w:val="0"/>
          <w:sz w:val="24"/>
          <w:szCs w:val="24"/>
          <w:vertAlign w:val="subscript"/>
        </w:rPr>
        <w:t>2</w:t>
      </w:r>
      <w:r w:rsidRPr="00EE46C8">
        <w:rPr>
          <w:rFonts w:ascii="微软雅黑" w:eastAsia="微软雅黑" w:hAnsi="微软雅黑" w:cs="宋体" w:hint="eastAsia"/>
          <w:color w:val="4C5157"/>
          <w:kern w:val="0"/>
          <w:sz w:val="24"/>
          <w:szCs w:val="24"/>
        </w:rPr>
        <w:t>──竖向承重构件中采用</w:t>
      </w:r>
      <w:proofErr w:type="gramStart"/>
      <w:r w:rsidRPr="00EE46C8">
        <w:rPr>
          <w:rFonts w:ascii="微软雅黑" w:eastAsia="微软雅黑" w:hAnsi="微软雅黑" w:cs="宋体" w:hint="eastAsia"/>
          <w:color w:val="4C5157"/>
          <w:kern w:val="0"/>
          <w:sz w:val="24"/>
          <w:szCs w:val="24"/>
        </w:rPr>
        <w:t>金属材料及钢</w:t>
      </w:r>
      <w:proofErr w:type="gramEnd"/>
      <w:r w:rsidRPr="00EE46C8">
        <w:rPr>
          <w:rFonts w:ascii="微软雅黑" w:eastAsia="微软雅黑" w:hAnsi="微软雅黑" w:cs="宋体" w:hint="eastAsia"/>
          <w:color w:val="4C5157"/>
          <w:kern w:val="0"/>
          <w:sz w:val="24"/>
          <w:szCs w:val="24"/>
        </w:rPr>
        <w:t>-混凝土组合材料部分的应用比例。</w:t>
      </w:r>
    </w:p>
    <w:p w14:paraId="6C1642E0"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i/>
          <w:iCs/>
          <w:color w:val="4C5157"/>
          <w:kern w:val="0"/>
          <w:sz w:val="24"/>
          <w:szCs w:val="24"/>
          <w:vertAlign w:val="subscript"/>
        </w:rPr>
        <w:t>2</w:t>
      </w:r>
      <w:r w:rsidRPr="00EE46C8">
        <w:rPr>
          <w:rFonts w:ascii="微软雅黑" w:eastAsia="微软雅黑" w:hAnsi="微软雅黑" w:cs="宋体" w:hint="eastAsia"/>
          <w:color w:val="4C5157"/>
          <w:kern w:val="0"/>
          <w:sz w:val="24"/>
          <w:szCs w:val="24"/>
        </w:rPr>
        <w:t>──建筑±0.000标高以上，竖向承重构件中采用金属材料或钢-混凝土组合材料部分构件长度和现场对接区段长度之</w:t>
      </w:r>
      <w:proofErr w:type="gramStart"/>
      <w:r w:rsidRPr="00EE46C8">
        <w:rPr>
          <w:rFonts w:ascii="微软雅黑" w:eastAsia="微软雅黑" w:hAnsi="微软雅黑" w:cs="宋体" w:hint="eastAsia"/>
          <w:color w:val="4C5157"/>
          <w:kern w:val="0"/>
          <w:sz w:val="24"/>
          <w:szCs w:val="24"/>
        </w:rPr>
        <w:t>和</w:t>
      </w:r>
      <w:proofErr w:type="gramEnd"/>
      <w:r w:rsidRPr="00EE46C8">
        <w:rPr>
          <w:rFonts w:ascii="微软雅黑" w:eastAsia="微软雅黑" w:hAnsi="微软雅黑" w:cs="宋体" w:hint="eastAsia"/>
          <w:color w:val="4C5157"/>
          <w:kern w:val="0"/>
          <w:sz w:val="24"/>
          <w:szCs w:val="24"/>
        </w:rPr>
        <w:t>。</w:t>
      </w:r>
    </w:p>
    <w:p w14:paraId="2D106DAF"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i/>
          <w:iCs/>
          <w:color w:val="4C5157"/>
          <w:kern w:val="0"/>
          <w:sz w:val="24"/>
          <w:szCs w:val="24"/>
          <w:vertAlign w:val="subscript"/>
        </w:rPr>
        <w:t>s</w:t>
      </w:r>
      <w:r w:rsidRPr="00EE46C8">
        <w:rPr>
          <w:rFonts w:ascii="微软雅黑" w:eastAsia="微软雅黑" w:hAnsi="微软雅黑" w:cs="宋体" w:hint="eastAsia"/>
          <w:color w:val="4C5157"/>
          <w:kern w:val="0"/>
          <w:sz w:val="24"/>
          <w:szCs w:val="24"/>
        </w:rPr>
        <w:t>──建筑±0.000标高以上，所有竖向承重构件计算总长度。</w:t>
      </w:r>
    </w:p>
    <w:p w14:paraId="6A4C9209"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t>3.楼（屋）盖结构应用装配式部品部件的比例，应根据覆盖面积按下列公式计算：</w:t>
      </w:r>
    </w:p>
    <w:p w14:paraId="168B5DB5"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Q</w:t>
      </w:r>
      <w:r w:rsidRPr="00EE46C8">
        <w:rPr>
          <w:rFonts w:ascii="微软雅黑" w:eastAsia="微软雅黑" w:hAnsi="微软雅黑" w:cs="宋体" w:hint="eastAsia"/>
          <w:i/>
          <w:iCs/>
          <w:color w:val="4C5157"/>
          <w:kern w:val="0"/>
          <w:sz w:val="24"/>
          <w:szCs w:val="24"/>
          <w:vertAlign w:val="subscript"/>
        </w:rPr>
        <w:t>3</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A</w:t>
      </w:r>
      <w:r w:rsidRPr="00EE46C8">
        <w:rPr>
          <w:rFonts w:ascii="微软雅黑" w:eastAsia="微软雅黑" w:hAnsi="微软雅黑" w:cs="宋体" w:hint="eastAsia"/>
          <w:i/>
          <w:iCs/>
          <w:color w:val="4C5157"/>
          <w:kern w:val="0"/>
          <w:sz w:val="24"/>
          <w:szCs w:val="24"/>
          <w:vertAlign w:val="subscript"/>
        </w:rPr>
        <w:t>3</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A</w:t>
      </w:r>
      <w:r w:rsidRPr="00EE46C8">
        <w:rPr>
          <w:rFonts w:ascii="微软雅黑" w:eastAsia="微软雅黑" w:hAnsi="微软雅黑" w:cs="宋体" w:hint="eastAsia"/>
          <w:i/>
          <w:iCs/>
          <w:color w:val="4C5157"/>
          <w:kern w:val="0"/>
          <w:sz w:val="24"/>
          <w:szCs w:val="24"/>
          <w:vertAlign w:val="subscript"/>
        </w:rPr>
        <w:t>lg</w:t>
      </w:r>
      <w:r w:rsidRPr="00EE46C8">
        <w:rPr>
          <w:rFonts w:ascii="微软雅黑" w:eastAsia="微软雅黑" w:hAnsi="微软雅黑" w:cs="宋体" w:hint="eastAsia"/>
          <w:color w:val="4C5157"/>
          <w:kern w:val="0"/>
          <w:sz w:val="24"/>
          <w:szCs w:val="24"/>
        </w:rPr>
        <w:t>×100%</w:t>
      </w:r>
    </w:p>
    <w:p w14:paraId="7B969495"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式中：</w:t>
      </w:r>
      <w:r w:rsidRPr="00EE46C8">
        <w:rPr>
          <w:rFonts w:ascii="微软雅黑" w:eastAsia="微软雅黑" w:hAnsi="微软雅黑" w:cs="宋体" w:hint="eastAsia"/>
          <w:i/>
          <w:iCs/>
          <w:color w:val="4C5157"/>
          <w:kern w:val="0"/>
          <w:sz w:val="24"/>
          <w:szCs w:val="24"/>
        </w:rPr>
        <w:t>Q</w:t>
      </w:r>
      <w:r w:rsidRPr="00EE46C8">
        <w:rPr>
          <w:rFonts w:ascii="微软雅黑" w:eastAsia="微软雅黑" w:hAnsi="微软雅黑" w:cs="宋体" w:hint="eastAsia"/>
          <w:i/>
          <w:iCs/>
          <w:color w:val="4C5157"/>
          <w:kern w:val="0"/>
          <w:sz w:val="24"/>
          <w:szCs w:val="24"/>
          <w:vertAlign w:val="subscript"/>
        </w:rPr>
        <w:t>3</w:t>
      </w:r>
      <w:r w:rsidRPr="00EE46C8">
        <w:rPr>
          <w:rFonts w:ascii="微软雅黑" w:eastAsia="微软雅黑" w:hAnsi="微软雅黑" w:cs="宋体" w:hint="eastAsia"/>
          <w:color w:val="4C5157"/>
          <w:kern w:val="0"/>
          <w:sz w:val="24"/>
          <w:szCs w:val="24"/>
        </w:rPr>
        <w:t>──楼（屋）盖结构中采用装配式部品部件的应用比例。</w:t>
      </w:r>
    </w:p>
    <w:p w14:paraId="5ACF224C"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A</w:t>
      </w:r>
      <w:r w:rsidRPr="00EE46C8">
        <w:rPr>
          <w:rFonts w:ascii="微软雅黑" w:eastAsia="微软雅黑" w:hAnsi="微软雅黑" w:cs="宋体" w:hint="eastAsia"/>
          <w:i/>
          <w:iCs/>
          <w:color w:val="4C5157"/>
          <w:kern w:val="0"/>
          <w:sz w:val="24"/>
          <w:szCs w:val="24"/>
          <w:vertAlign w:val="subscript"/>
        </w:rPr>
        <w:t>3</w:t>
      </w:r>
      <w:r w:rsidRPr="00EE46C8">
        <w:rPr>
          <w:rFonts w:ascii="微软雅黑" w:eastAsia="微软雅黑" w:hAnsi="微软雅黑" w:cs="宋体" w:hint="eastAsia"/>
          <w:color w:val="4C5157"/>
          <w:kern w:val="0"/>
          <w:sz w:val="24"/>
          <w:szCs w:val="24"/>
        </w:rPr>
        <w:t>──建筑±0.000标高以上，各楼层预制楼（屋）盖构件的水平投影面积之和（包含梁、板、楼梯、阳台、空调板等）。</w:t>
      </w:r>
    </w:p>
    <w:p w14:paraId="57639559"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A</w:t>
      </w:r>
      <w:r w:rsidRPr="00EE46C8">
        <w:rPr>
          <w:rFonts w:ascii="微软雅黑" w:eastAsia="微软雅黑" w:hAnsi="微软雅黑" w:cs="宋体" w:hint="eastAsia"/>
          <w:i/>
          <w:iCs/>
          <w:color w:val="4C5157"/>
          <w:kern w:val="0"/>
          <w:sz w:val="24"/>
          <w:szCs w:val="24"/>
          <w:vertAlign w:val="subscript"/>
        </w:rPr>
        <w:t>lg</w:t>
      </w:r>
      <w:r w:rsidRPr="00EE46C8">
        <w:rPr>
          <w:rFonts w:ascii="微软雅黑" w:eastAsia="微软雅黑" w:hAnsi="微软雅黑" w:cs="宋体" w:hint="eastAsia"/>
          <w:color w:val="4C5157"/>
          <w:kern w:val="0"/>
          <w:sz w:val="24"/>
          <w:szCs w:val="24"/>
        </w:rPr>
        <w:t>──建筑±0.000标高以上，各楼层水平投影面积之</w:t>
      </w:r>
      <w:proofErr w:type="gramStart"/>
      <w:r w:rsidRPr="00EE46C8">
        <w:rPr>
          <w:rFonts w:ascii="微软雅黑" w:eastAsia="微软雅黑" w:hAnsi="微软雅黑" w:cs="宋体" w:hint="eastAsia"/>
          <w:color w:val="4C5157"/>
          <w:kern w:val="0"/>
          <w:sz w:val="24"/>
          <w:szCs w:val="24"/>
        </w:rPr>
        <w:t>和</w:t>
      </w:r>
      <w:proofErr w:type="gramEnd"/>
      <w:r w:rsidRPr="00EE46C8">
        <w:rPr>
          <w:rFonts w:ascii="微软雅黑" w:eastAsia="微软雅黑" w:hAnsi="微软雅黑" w:cs="宋体" w:hint="eastAsia"/>
          <w:color w:val="4C5157"/>
          <w:kern w:val="0"/>
          <w:sz w:val="24"/>
          <w:szCs w:val="24"/>
        </w:rPr>
        <w:t>。</w:t>
      </w:r>
    </w:p>
    <w:p w14:paraId="22656C13"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注：</w:t>
      </w:r>
    </w:p>
    <w:p w14:paraId="27EFC83B"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proofErr w:type="gramStart"/>
      <w:r w:rsidRPr="00EE46C8">
        <w:rPr>
          <w:rFonts w:ascii="微软雅黑" w:eastAsia="微软雅黑" w:hAnsi="微软雅黑" w:cs="宋体" w:hint="eastAsia"/>
          <w:color w:val="4C5157"/>
          <w:kern w:val="0"/>
          <w:sz w:val="24"/>
          <w:szCs w:val="24"/>
        </w:rPr>
        <w:t>梁对于</w:t>
      </w:r>
      <w:proofErr w:type="gramEnd"/>
      <w:r w:rsidRPr="00EE46C8">
        <w:rPr>
          <w:rFonts w:ascii="微软雅黑" w:eastAsia="微软雅黑" w:hAnsi="微软雅黑" w:cs="宋体" w:hint="eastAsia"/>
          <w:color w:val="4C5157"/>
          <w:kern w:val="0"/>
          <w:sz w:val="24"/>
          <w:szCs w:val="24"/>
        </w:rPr>
        <w:t>混凝土结构主要为预制混凝土梁，对于钢结构主要为钢梁；</w:t>
      </w:r>
      <w:proofErr w:type="gramStart"/>
      <w:r w:rsidRPr="00EE46C8">
        <w:rPr>
          <w:rFonts w:ascii="微软雅黑" w:eastAsia="微软雅黑" w:hAnsi="微软雅黑" w:cs="宋体" w:hint="eastAsia"/>
          <w:color w:val="4C5157"/>
          <w:kern w:val="0"/>
          <w:sz w:val="24"/>
          <w:szCs w:val="24"/>
        </w:rPr>
        <w:t>板对于</w:t>
      </w:r>
      <w:proofErr w:type="gramEnd"/>
      <w:r w:rsidRPr="00EE46C8">
        <w:rPr>
          <w:rFonts w:ascii="微软雅黑" w:eastAsia="微软雅黑" w:hAnsi="微软雅黑" w:cs="宋体" w:hint="eastAsia"/>
          <w:color w:val="4C5157"/>
          <w:kern w:val="0"/>
          <w:sz w:val="24"/>
          <w:szCs w:val="24"/>
        </w:rPr>
        <w:t>混凝土结构可采用叠合楼板、预制楼板、密肋楼板</w:t>
      </w:r>
      <w:proofErr w:type="gramStart"/>
      <w:r w:rsidRPr="00EE46C8">
        <w:rPr>
          <w:rFonts w:ascii="微软雅黑" w:eastAsia="微软雅黑" w:hAnsi="微软雅黑" w:cs="宋体" w:hint="eastAsia"/>
          <w:color w:val="4C5157"/>
          <w:kern w:val="0"/>
          <w:sz w:val="24"/>
          <w:szCs w:val="24"/>
        </w:rPr>
        <w:t>等免支</w:t>
      </w:r>
      <w:proofErr w:type="gramEnd"/>
      <w:r w:rsidRPr="00EE46C8">
        <w:rPr>
          <w:rFonts w:ascii="微软雅黑" w:eastAsia="微软雅黑" w:hAnsi="微软雅黑" w:cs="宋体" w:hint="eastAsia"/>
          <w:color w:val="4C5157"/>
          <w:kern w:val="0"/>
          <w:sz w:val="24"/>
          <w:szCs w:val="24"/>
        </w:rPr>
        <w:t>模或采用定型模板的楼板</w:t>
      </w:r>
      <w:r w:rsidRPr="00EE46C8">
        <w:rPr>
          <w:rFonts w:ascii="微软雅黑" w:eastAsia="微软雅黑" w:hAnsi="微软雅黑" w:cs="宋体" w:hint="eastAsia"/>
          <w:color w:val="4C5157"/>
          <w:kern w:val="0"/>
          <w:sz w:val="24"/>
          <w:szCs w:val="24"/>
        </w:rPr>
        <w:lastRenderedPageBreak/>
        <w:t>形式，对于钢结构可采用压型钢板组合楼板、钢筋</w:t>
      </w:r>
      <w:proofErr w:type="gramStart"/>
      <w:r w:rsidRPr="00EE46C8">
        <w:rPr>
          <w:rFonts w:ascii="微软雅黑" w:eastAsia="微软雅黑" w:hAnsi="微软雅黑" w:cs="宋体" w:hint="eastAsia"/>
          <w:color w:val="4C5157"/>
          <w:kern w:val="0"/>
          <w:sz w:val="24"/>
          <w:szCs w:val="24"/>
        </w:rPr>
        <w:t>桁架楼承板</w:t>
      </w:r>
      <w:proofErr w:type="gramEnd"/>
      <w:r w:rsidRPr="00EE46C8">
        <w:rPr>
          <w:rFonts w:ascii="微软雅黑" w:eastAsia="微软雅黑" w:hAnsi="微软雅黑" w:cs="宋体" w:hint="eastAsia"/>
          <w:color w:val="4C5157"/>
          <w:kern w:val="0"/>
          <w:sz w:val="24"/>
          <w:szCs w:val="24"/>
        </w:rPr>
        <w:t>等可实现</w:t>
      </w:r>
      <w:proofErr w:type="gramStart"/>
      <w:r w:rsidRPr="00EE46C8">
        <w:rPr>
          <w:rFonts w:ascii="微软雅黑" w:eastAsia="微软雅黑" w:hAnsi="微软雅黑" w:cs="宋体" w:hint="eastAsia"/>
          <w:color w:val="4C5157"/>
          <w:kern w:val="0"/>
          <w:sz w:val="24"/>
          <w:szCs w:val="24"/>
        </w:rPr>
        <w:t>现场免支模</w:t>
      </w:r>
      <w:proofErr w:type="gramEnd"/>
      <w:r w:rsidRPr="00EE46C8">
        <w:rPr>
          <w:rFonts w:ascii="微软雅黑" w:eastAsia="微软雅黑" w:hAnsi="微软雅黑" w:cs="宋体" w:hint="eastAsia"/>
          <w:color w:val="4C5157"/>
          <w:kern w:val="0"/>
          <w:sz w:val="24"/>
          <w:szCs w:val="24"/>
        </w:rPr>
        <w:t>的楼板形式；楼梯可采用预制混凝土楼梯或钢楼梯；对于叠合楼板类型，预制底板采用整体式拼缝的宽度尺寸不大于400mm时，该部分的水平投影面积可计入</w:t>
      </w:r>
      <w:r w:rsidRPr="00EE46C8">
        <w:rPr>
          <w:rFonts w:ascii="微软雅黑" w:eastAsia="微软雅黑" w:hAnsi="微软雅黑" w:cs="宋体" w:hint="eastAsia"/>
          <w:i/>
          <w:iCs/>
          <w:color w:val="4C5157"/>
          <w:kern w:val="0"/>
          <w:sz w:val="24"/>
          <w:szCs w:val="24"/>
        </w:rPr>
        <w:t>A</w:t>
      </w:r>
      <w:r w:rsidRPr="00EE46C8">
        <w:rPr>
          <w:rFonts w:ascii="微软雅黑" w:eastAsia="微软雅黑" w:hAnsi="微软雅黑" w:cs="宋体" w:hint="eastAsia"/>
          <w:i/>
          <w:iCs/>
          <w:color w:val="4C5157"/>
          <w:kern w:val="0"/>
          <w:sz w:val="24"/>
          <w:szCs w:val="24"/>
          <w:vertAlign w:val="subscript"/>
        </w:rPr>
        <w:t>3</w:t>
      </w:r>
      <w:r w:rsidRPr="00EE46C8">
        <w:rPr>
          <w:rFonts w:ascii="微软雅黑" w:eastAsia="微软雅黑" w:hAnsi="微软雅黑" w:cs="宋体" w:hint="eastAsia"/>
          <w:color w:val="4C5157"/>
          <w:kern w:val="0"/>
          <w:sz w:val="24"/>
          <w:szCs w:val="24"/>
        </w:rPr>
        <w:t>中。</w:t>
      </w:r>
    </w:p>
    <w:p w14:paraId="34E1432B"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t>4.外围护墙应用非砌筑墙体的比例，应根据其外</w:t>
      </w:r>
      <w:proofErr w:type="gramStart"/>
      <w:r w:rsidRPr="00EE46C8">
        <w:rPr>
          <w:rFonts w:ascii="微软雅黑" w:eastAsia="微软雅黑" w:hAnsi="微软雅黑" w:cs="宋体" w:hint="eastAsia"/>
          <w:b/>
          <w:bCs/>
          <w:color w:val="4C5157"/>
          <w:kern w:val="0"/>
          <w:sz w:val="24"/>
          <w:szCs w:val="24"/>
        </w:rPr>
        <w:t>表面积</w:t>
      </w:r>
      <w:proofErr w:type="gramEnd"/>
      <w:r w:rsidRPr="00EE46C8">
        <w:rPr>
          <w:rFonts w:ascii="微软雅黑" w:eastAsia="微软雅黑" w:hAnsi="微软雅黑" w:cs="宋体" w:hint="eastAsia"/>
          <w:b/>
          <w:bCs/>
          <w:color w:val="4C5157"/>
          <w:kern w:val="0"/>
          <w:sz w:val="24"/>
          <w:szCs w:val="24"/>
        </w:rPr>
        <w:t>按下列公式计算：</w:t>
      </w:r>
    </w:p>
    <w:p w14:paraId="40DAAA41"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Q</w:t>
      </w:r>
      <w:r w:rsidRPr="00EE46C8">
        <w:rPr>
          <w:rFonts w:ascii="微软雅黑" w:eastAsia="微软雅黑" w:hAnsi="微软雅黑" w:cs="宋体" w:hint="eastAsia"/>
          <w:i/>
          <w:iCs/>
          <w:color w:val="4C5157"/>
          <w:kern w:val="0"/>
          <w:sz w:val="24"/>
          <w:szCs w:val="24"/>
          <w:vertAlign w:val="subscript"/>
        </w:rPr>
        <w:t>4</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A</w:t>
      </w:r>
      <w:r w:rsidRPr="00EE46C8">
        <w:rPr>
          <w:rFonts w:ascii="微软雅黑" w:eastAsia="微软雅黑" w:hAnsi="微软雅黑" w:cs="宋体" w:hint="eastAsia"/>
          <w:i/>
          <w:iCs/>
          <w:color w:val="4C5157"/>
          <w:kern w:val="0"/>
          <w:sz w:val="24"/>
          <w:szCs w:val="24"/>
          <w:vertAlign w:val="subscript"/>
        </w:rPr>
        <w:t>4</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A</w:t>
      </w:r>
      <w:r w:rsidRPr="00EE46C8">
        <w:rPr>
          <w:rFonts w:ascii="微软雅黑" w:eastAsia="微软雅黑" w:hAnsi="微软雅黑" w:cs="宋体" w:hint="eastAsia"/>
          <w:i/>
          <w:iCs/>
          <w:color w:val="4C5157"/>
          <w:kern w:val="0"/>
          <w:sz w:val="24"/>
          <w:szCs w:val="24"/>
          <w:vertAlign w:val="subscript"/>
        </w:rPr>
        <w:t>wq</w:t>
      </w:r>
      <w:r w:rsidRPr="00EE46C8">
        <w:rPr>
          <w:rFonts w:ascii="微软雅黑" w:eastAsia="微软雅黑" w:hAnsi="微软雅黑" w:cs="宋体" w:hint="eastAsia"/>
          <w:color w:val="4C5157"/>
          <w:kern w:val="0"/>
          <w:sz w:val="24"/>
          <w:szCs w:val="24"/>
        </w:rPr>
        <w:t>×100%</w:t>
      </w:r>
    </w:p>
    <w:p w14:paraId="1FC24D17"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式中：</w:t>
      </w:r>
      <w:r w:rsidRPr="00EE46C8">
        <w:rPr>
          <w:rFonts w:ascii="微软雅黑" w:eastAsia="微软雅黑" w:hAnsi="微软雅黑" w:cs="宋体" w:hint="eastAsia"/>
          <w:i/>
          <w:iCs/>
          <w:color w:val="4C5157"/>
          <w:kern w:val="0"/>
          <w:sz w:val="24"/>
          <w:szCs w:val="24"/>
        </w:rPr>
        <w:t>Q</w:t>
      </w:r>
      <w:r w:rsidRPr="00EE46C8">
        <w:rPr>
          <w:rFonts w:ascii="微软雅黑" w:eastAsia="微软雅黑" w:hAnsi="微软雅黑" w:cs="宋体" w:hint="eastAsia"/>
          <w:i/>
          <w:iCs/>
          <w:color w:val="4C5157"/>
          <w:kern w:val="0"/>
          <w:sz w:val="24"/>
          <w:szCs w:val="24"/>
          <w:vertAlign w:val="subscript"/>
        </w:rPr>
        <w:t>4</w:t>
      </w:r>
      <w:r w:rsidRPr="00EE46C8">
        <w:rPr>
          <w:rFonts w:ascii="微软雅黑" w:eastAsia="微软雅黑" w:hAnsi="微软雅黑" w:cs="宋体" w:hint="eastAsia"/>
          <w:color w:val="4C5157"/>
          <w:kern w:val="0"/>
          <w:sz w:val="24"/>
          <w:szCs w:val="24"/>
        </w:rPr>
        <w:t>──外围护墙中采用非砌筑墙体的应用比例。</w:t>
      </w:r>
    </w:p>
    <w:p w14:paraId="7C143E26"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A4──建筑±0.000标高以上，各楼层外围护墙采用非砌筑墙体的外表面积之和，计算时可不扣除门、窗及预留洞口等的面积。</w:t>
      </w:r>
    </w:p>
    <w:p w14:paraId="2FA12CFE"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Awq──建筑±0.000标高以上，各楼层外围护墙外表面积之和，计算时可不扣除门、窗及预留洞口等的面积。</w:t>
      </w:r>
    </w:p>
    <w:p w14:paraId="5547E969"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t>5.分户墙、内隔墙应用非砌筑墙体的比例，应根据其表面积按下列公式计算：</w:t>
      </w:r>
    </w:p>
    <w:p w14:paraId="42D23284"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Q5=A5/Anq×100%</w:t>
      </w:r>
    </w:p>
    <w:p w14:paraId="14E8D5D6"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式中：Q5──分户墙、内隔墙采用非</w:t>
      </w:r>
      <w:proofErr w:type="gramStart"/>
      <w:r w:rsidRPr="00EE46C8">
        <w:rPr>
          <w:rFonts w:ascii="微软雅黑" w:eastAsia="微软雅黑" w:hAnsi="微软雅黑" w:cs="宋体" w:hint="eastAsia"/>
          <w:color w:val="4C5157"/>
          <w:kern w:val="0"/>
          <w:sz w:val="24"/>
          <w:szCs w:val="24"/>
        </w:rPr>
        <w:t>砌筑做法</w:t>
      </w:r>
      <w:proofErr w:type="gramEnd"/>
      <w:r w:rsidRPr="00EE46C8">
        <w:rPr>
          <w:rFonts w:ascii="微软雅黑" w:eastAsia="微软雅黑" w:hAnsi="微软雅黑" w:cs="宋体" w:hint="eastAsia"/>
          <w:color w:val="4C5157"/>
          <w:kern w:val="0"/>
          <w:sz w:val="24"/>
          <w:szCs w:val="24"/>
        </w:rPr>
        <w:t>的应用比例。</w:t>
      </w:r>
    </w:p>
    <w:p w14:paraId="43602B17"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A5──建筑±0.000标高以上，各楼层分户墙、内隔墙采用非</w:t>
      </w:r>
      <w:proofErr w:type="gramStart"/>
      <w:r w:rsidRPr="00EE46C8">
        <w:rPr>
          <w:rFonts w:ascii="微软雅黑" w:eastAsia="微软雅黑" w:hAnsi="微软雅黑" w:cs="宋体" w:hint="eastAsia"/>
          <w:color w:val="4C5157"/>
          <w:kern w:val="0"/>
          <w:sz w:val="24"/>
          <w:szCs w:val="24"/>
        </w:rPr>
        <w:t>砌筑做法</w:t>
      </w:r>
      <w:proofErr w:type="gramEnd"/>
      <w:r w:rsidRPr="00EE46C8">
        <w:rPr>
          <w:rFonts w:ascii="微软雅黑" w:eastAsia="微软雅黑" w:hAnsi="微软雅黑" w:cs="宋体" w:hint="eastAsia"/>
          <w:color w:val="4C5157"/>
          <w:kern w:val="0"/>
          <w:sz w:val="24"/>
          <w:szCs w:val="24"/>
        </w:rPr>
        <w:t>墙体的表面积之和，计算时可不扣除门、窗及预留洞口等的面积。</w:t>
      </w:r>
    </w:p>
    <w:p w14:paraId="5B61DB9C"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Anq──建筑±0.000标高以上，各楼层分户墙、内隔墙表面积之和，计算时可不扣除门、窗及预留洞口等的面积。</w:t>
      </w:r>
    </w:p>
    <w:p w14:paraId="5432C9BC"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lastRenderedPageBreak/>
        <w:t>6.建筑装修率应按如下公式计算：</w:t>
      </w:r>
    </w:p>
    <w:p w14:paraId="3B7217E0"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t>（1）固定面装修比例按下式计算：</w:t>
      </w:r>
    </w:p>
    <w:p w14:paraId="230AB967"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Q</w:t>
      </w:r>
      <w:r w:rsidRPr="00EE46C8">
        <w:rPr>
          <w:rFonts w:ascii="微软雅黑" w:eastAsia="微软雅黑" w:hAnsi="微软雅黑" w:cs="宋体" w:hint="eastAsia"/>
          <w:i/>
          <w:iCs/>
          <w:color w:val="4C5157"/>
          <w:kern w:val="0"/>
          <w:sz w:val="24"/>
          <w:szCs w:val="24"/>
          <w:vertAlign w:val="subscript"/>
        </w:rPr>
        <w:t>6</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A</w:t>
      </w:r>
      <w:r w:rsidRPr="00EE46C8">
        <w:rPr>
          <w:rFonts w:ascii="微软雅黑" w:eastAsia="微软雅黑" w:hAnsi="微软雅黑" w:cs="宋体" w:hint="eastAsia"/>
          <w:i/>
          <w:iCs/>
          <w:color w:val="4C5157"/>
          <w:kern w:val="0"/>
          <w:sz w:val="24"/>
          <w:szCs w:val="24"/>
          <w:vertAlign w:val="subscript"/>
        </w:rPr>
        <w:t>6</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A</w:t>
      </w:r>
      <w:r w:rsidRPr="00EE46C8">
        <w:rPr>
          <w:rFonts w:ascii="微软雅黑" w:eastAsia="微软雅黑" w:hAnsi="微软雅黑" w:cs="宋体" w:hint="eastAsia"/>
          <w:i/>
          <w:iCs/>
          <w:color w:val="4C5157"/>
          <w:kern w:val="0"/>
          <w:sz w:val="24"/>
          <w:szCs w:val="24"/>
          <w:vertAlign w:val="subscript"/>
        </w:rPr>
        <w:t>zx</w:t>
      </w:r>
      <w:r w:rsidRPr="00EE46C8">
        <w:rPr>
          <w:rFonts w:ascii="微软雅黑" w:eastAsia="微软雅黑" w:hAnsi="微软雅黑" w:cs="宋体" w:hint="eastAsia"/>
          <w:color w:val="4C5157"/>
          <w:kern w:val="0"/>
          <w:sz w:val="24"/>
          <w:szCs w:val="24"/>
        </w:rPr>
        <w:t>×100%</w:t>
      </w:r>
    </w:p>
    <w:p w14:paraId="6D7773C4"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式中：</w:t>
      </w:r>
      <w:r w:rsidRPr="00EE46C8">
        <w:rPr>
          <w:rFonts w:ascii="微软雅黑" w:eastAsia="微软雅黑" w:hAnsi="微软雅黑" w:cs="宋体" w:hint="eastAsia"/>
          <w:i/>
          <w:iCs/>
          <w:color w:val="4C5157"/>
          <w:kern w:val="0"/>
          <w:sz w:val="24"/>
          <w:szCs w:val="24"/>
        </w:rPr>
        <w:t>Q</w:t>
      </w:r>
      <w:r w:rsidRPr="00EE46C8">
        <w:rPr>
          <w:rFonts w:ascii="微软雅黑" w:eastAsia="微软雅黑" w:hAnsi="微软雅黑" w:cs="宋体" w:hint="eastAsia"/>
          <w:i/>
          <w:iCs/>
          <w:color w:val="4C5157"/>
          <w:kern w:val="0"/>
          <w:sz w:val="24"/>
          <w:szCs w:val="24"/>
          <w:vertAlign w:val="subscript"/>
        </w:rPr>
        <w:t>6</w:t>
      </w:r>
      <w:r w:rsidRPr="00EE46C8">
        <w:rPr>
          <w:rFonts w:ascii="微软雅黑" w:eastAsia="微软雅黑" w:hAnsi="微软雅黑" w:cs="宋体" w:hint="eastAsia"/>
          <w:color w:val="4C5157"/>
          <w:kern w:val="0"/>
          <w:sz w:val="24"/>
          <w:szCs w:val="24"/>
        </w:rPr>
        <w:t>──建筑固定面装修比例。</w:t>
      </w:r>
    </w:p>
    <w:p w14:paraId="1AA10DC2"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A6──建筑±0.000标高以上，楼板、墙体等装修区域表面面积之</w:t>
      </w:r>
      <w:proofErr w:type="gramStart"/>
      <w:r w:rsidRPr="00EE46C8">
        <w:rPr>
          <w:rFonts w:ascii="微软雅黑" w:eastAsia="微软雅黑" w:hAnsi="微软雅黑" w:cs="宋体" w:hint="eastAsia"/>
          <w:color w:val="4C5157"/>
          <w:kern w:val="0"/>
          <w:sz w:val="24"/>
          <w:szCs w:val="24"/>
        </w:rPr>
        <w:t>和</w:t>
      </w:r>
      <w:proofErr w:type="gramEnd"/>
      <w:r w:rsidRPr="00EE46C8">
        <w:rPr>
          <w:rFonts w:ascii="微软雅黑" w:eastAsia="微软雅黑" w:hAnsi="微软雅黑" w:cs="宋体" w:hint="eastAsia"/>
          <w:color w:val="4C5157"/>
          <w:kern w:val="0"/>
          <w:sz w:val="24"/>
          <w:szCs w:val="24"/>
        </w:rPr>
        <w:t>。楼板有板顶和</w:t>
      </w:r>
      <w:proofErr w:type="gramStart"/>
      <w:r w:rsidRPr="00EE46C8">
        <w:rPr>
          <w:rFonts w:ascii="微软雅黑" w:eastAsia="微软雅黑" w:hAnsi="微软雅黑" w:cs="宋体" w:hint="eastAsia"/>
          <w:color w:val="4C5157"/>
          <w:kern w:val="0"/>
          <w:sz w:val="24"/>
          <w:szCs w:val="24"/>
        </w:rPr>
        <w:t>板底</w:t>
      </w:r>
      <w:proofErr w:type="gramEnd"/>
      <w:r w:rsidRPr="00EE46C8">
        <w:rPr>
          <w:rFonts w:ascii="微软雅黑" w:eastAsia="微软雅黑" w:hAnsi="微软雅黑" w:cs="宋体" w:hint="eastAsia"/>
          <w:color w:val="4C5157"/>
          <w:kern w:val="0"/>
          <w:sz w:val="24"/>
          <w:szCs w:val="24"/>
        </w:rPr>
        <w:t>之分，墙体有内侧与外侧之分。</w:t>
      </w:r>
    </w:p>
    <w:p w14:paraId="2F998027"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A</w:t>
      </w:r>
      <w:r w:rsidRPr="00EE46C8">
        <w:rPr>
          <w:rFonts w:ascii="微软雅黑" w:eastAsia="微软雅黑" w:hAnsi="微软雅黑" w:cs="宋体" w:hint="eastAsia"/>
          <w:i/>
          <w:iCs/>
          <w:color w:val="4C5157"/>
          <w:kern w:val="0"/>
          <w:sz w:val="24"/>
          <w:szCs w:val="24"/>
          <w:vertAlign w:val="subscript"/>
        </w:rPr>
        <w:t>zx</w:t>
      </w:r>
      <w:r w:rsidRPr="00EE46C8">
        <w:rPr>
          <w:rFonts w:ascii="微软雅黑" w:eastAsia="微软雅黑" w:hAnsi="微软雅黑" w:cs="宋体" w:hint="eastAsia"/>
          <w:color w:val="4C5157"/>
          <w:kern w:val="0"/>
          <w:sz w:val="24"/>
          <w:szCs w:val="24"/>
        </w:rPr>
        <w:t>──建筑±0.000标高以上，建筑应装修区域表面面积之</w:t>
      </w:r>
      <w:proofErr w:type="gramStart"/>
      <w:r w:rsidRPr="00EE46C8">
        <w:rPr>
          <w:rFonts w:ascii="微软雅黑" w:eastAsia="微软雅黑" w:hAnsi="微软雅黑" w:cs="宋体" w:hint="eastAsia"/>
          <w:color w:val="4C5157"/>
          <w:kern w:val="0"/>
          <w:sz w:val="24"/>
          <w:szCs w:val="24"/>
        </w:rPr>
        <w:t>和</w:t>
      </w:r>
      <w:proofErr w:type="gramEnd"/>
      <w:r w:rsidRPr="00EE46C8">
        <w:rPr>
          <w:rFonts w:ascii="微软雅黑" w:eastAsia="微软雅黑" w:hAnsi="微软雅黑" w:cs="宋体" w:hint="eastAsia"/>
          <w:color w:val="4C5157"/>
          <w:kern w:val="0"/>
          <w:sz w:val="24"/>
          <w:szCs w:val="24"/>
        </w:rPr>
        <w:t>。</w:t>
      </w:r>
    </w:p>
    <w:p w14:paraId="2ED6263F"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楼板有板顶</w:t>
      </w:r>
      <w:proofErr w:type="gramStart"/>
      <w:r w:rsidRPr="00EE46C8">
        <w:rPr>
          <w:rFonts w:ascii="微软雅黑" w:eastAsia="微软雅黑" w:hAnsi="微软雅黑" w:cs="宋体" w:hint="eastAsia"/>
          <w:color w:val="4C5157"/>
          <w:kern w:val="0"/>
          <w:sz w:val="24"/>
          <w:szCs w:val="24"/>
        </w:rPr>
        <w:t>与板底之</w:t>
      </w:r>
      <w:proofErr w:type="gramEnd"/>
      <w:r w:rsidRPr="00EE46C8">
        <w:rPr>
          <w:rFonts w:ascii="微软雅黑" w:eastAsia="微软雅黑" w:hAnsi="微软雅黑" w:cs="宋体" w:hint="eastAsia"/>
          <w:color w:val="4C5157"/>
          <w:kern w:val="0"/>
          <w:sz w:val="24"/>
          <w:szCs w:val="24"/>
        </w:rPr>
        <w:t>分，墙体有内侧与外侧之分。</w:t>
      </w:r>
    </w:p>
    <w:p w14:paraId="6885FCB3"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注：</w:t>
      </w:r>
    </w:p>
    <w:p w14:paraId="773C599B"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对于不同建筑类型的装饰装修，其内容和要求允许客观上存在差异。</w:t>
      </w:r>
    </w:p>
    <w:p w14:paraId="614695CE"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对于教育、医疗、住宅等建筑类型，在设计阶段即可明确建筑功能空间对使用和性能的要求及标准。其所有区域均视为可装修区域。</w:t>
      </w:r>
    </w:p>
    <w:p w14:paraId="6BEDDB79"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对于办公、商业等建筑类型，其内部部分使用空间需根据承租方或购买方要求进行确定时，应将建筑公共区域视为可装修区域。</w:t>
      </w:r>
    </w:p>
    <w:p w14:paraId="1F09906B"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b/>
          <w:bCs/>
          <w:color w:val="4C5157"/>
          <w:kern w:val="0"/>
          <w:sz w:val="24"/>
          <w:szCs w:val="24"/>
        </w:rPr>
        <w:t>（2）设备设施比例按下式计算：</w:t>
      </w:r>
    </w:p>
    <w:p w14:paraId="4CF61C3B"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i/>
          <w:iCs/>
          <w:color w:val="4C5157"/>
          <w:kern w:val="0"/>
          <w:sz w:val="24"/>
          <w:szCs w:val="24"/>
        </w:rPr>
        <w:t>Q</w:t>
      </w:r>
      <w:r w:rsidRPr="00EE46C8">
        <w:rPr>
          <w:rFonts w:ascii="微软雅黑" w:eastAsia="微软雅黑" w:hAnsi="微软雅黑" w:cs="宋体" w:hint="eastAsia"/>
          <w:i/>
          <w:iCs/>
          <w:color w:val="4C5157"/>
          <w:kern w:val="0"/>
          <w:sz w:val="24"/>
          <w:szCs w:val="24"/>
          <w:vertAlign w:val="subscript"/>
        </w:rPr>
        <w:t>7</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i/>
          <w:iCs/>
          <w:color w:val="4C5157"/>
          <w:kern w:val="0"/>
          <w:sz w:val="24"/>
          <w:szCs w:val="24"/>
          <w:vertAlign w:val="subscript"/>
        </w:rPr>
        <w:t>a</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i/>
          <w:iCs/>
          <w:color w:val="4C5157"/>
          <w:kern w:val="0"/>
          <w:sz w:val="24"/>
          <w:szCs w:val="24"/>
          <w:vertAlign w:val="subscript"/>
        </w:rPr>
        <w:t>b</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i/>
          <w:iCs/>
          <w:color w:val="4C5157"/>
          <w:kern w:val="0"/>
          <w:sz w:val="24"/>
          <w:szCs w:val="24"/>
          <w:vertAlign w:val="subscript"/>
        </w:rPr>
        <w:t>c</w:t>
      </w:r>
      <w:r w:rsidRPr="00EE46C8">
        <w:rPr>
          <w:rFonts w:ascii="微软雅黑" w:eastAsia="微软雅黑" w:hAnsi="微软雅黑" w:cs="宋体" w:hint="eastAsia"/>
          <w:color w:val="4C5157"/>
          <w:kern w:val="0"/>
          <w:sz w:val="24"/>
          <w:szCs w:val="24"/>
        </w:rPr>
        <w:t>）/</w:t>
      </w:r>
      <w:r w:rsidRPr="00EE46C8">
        <w:rPr>
          <w:rFonts w:ascii="微软雅黑" w:eastAsia="微软雅黑" w:hAnsi="微软雅黑" w:cs="宋体" w:hint="eastAsia"/>
          <w:i/>
          <w:iCs/>
          <w:color w:val="4C5157"/>
          <w:kern w:val="0"/>
          <w:sz w:val="24"/>
          <w:szCs w:val="24"/>
        </w:rPr>
        <w:t>L</w:t>
      </w:r>
      <w:r w:rsidRPr="00EE46C8">
        <w:rPr>
          <w:rFonts w:ascii="微软雅黑" w:eastAsia="微软雅黑" w:hAnsi="微软雅黑" w:cs="宋体" w:hint="eastAsia"/>
          <w:color w:val="4C5157"/>
          <w:kern w:val="0"/>
          <w:sz w:val="24"/>
          <w:szCs w:val="24"/>
        </w:rPr>
        <w:t>×100%</w:t>
      </w:r>
    </w:p>
    <w:p w14:paraId="18A5E897"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lastRenderedPageBreak/>
        <w:t>式中：Q7──设备设施比例；</w:t>
      </w:r>
    </w:p>
    <w:p w14:paraId="2FD8A493"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La──建筑±0.000标高以上，各楼层电气专业管线预埋于部品部件及管线与结构分离的长度；</w:t>
      </w:r>
    </w:p>
    <w:p w14:paraId="252E6C54"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Lb──建筑±0.000标高以上，各楼层给（排）水专业管线在预埋于部品部件及管线与结构分离的长度；</w:t>
      </w:r>
    </w:p>
    <w:p w14:paraId="00FE8C97"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Lc──建筑±0.000标高以上，各楼层采暖专业管线在预埋于部品部件及管线与结构分离的长度；</w:t>
      </w:r>
    </w:p>
    <w:p w14:paraId="40642791"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L──建筑±0.000标高以上，各楼层参与计算管线类型的总长度。</w:t>
      </w:r>
    </w:p>
    <w:p w14:paraId="5D4EADAE"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注：</w:t>
      </w:r>
    </w:p>
    <w:p w14:paraId="2E69E6DF"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纳入管线计算的专业应包括电气（强电、弱电、通信等）、给（排）水和采暖等。</w:t>
      </w:r>
    </w:p>
    <w:p w14:paraId="2FCAB9C0"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proofErr w:type="gramStart"/>
      <w:r w:rsidRPr="00EE46C8">
        <w:rPr>
          <w:rFonts w:ascii="微软雅黑" w:eastAsia="微软雅黑" w:hAnsi="微软雅黑" w:cs="宋体" w:hint="eastAsia"/>
          <w:color w:val="4C5157"/>
          <w:kern w:val="0"/>
          <w:sz w:val="24"/>
          <w:szCs w:val="24"/>
        </w:rPr>
        <w:t>当相关</w:t>
      </w:r>
      <w:proofErr w:type="gramEnd"/>
      <w:r w:rsidRPr="00EE46C8">
        <w:rPr>
          <w:rFonts w:ascii="微软雅黑" w:eastAsia="微软雅黑" w:hAnsi="微软雅黑" w:cs="宋体" w:hint="eastAsia"/>
          <w:color w:val="4C5157"/>
          <w:kern w:val="0"/>
          <w:sz w:val="24"/>
          <w:szCs w:val="24"/>
        </w:rPr>
        <w:t>专业管线采用预埋（或管道预设）的形式形成整体时，计算时应准予考虑。</w:t>
      </w:r>
    </w:p>
    <w:p w14:paraId="0F44D232"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敷设于地面架空层、非承重墙体空腔和吊顶内的管线可认定为管线与结构分离。</w:t>
      </w:r>
    </w:p>
    <w:p w14:paraId="5E407AAA" w14:textId="77777777" w:rsidR="00EE46C8" w:rsidRPr="00EE46C8" w:rsidRDefault="00EE46C8" w:rsidP="00EE46C8">
      <w:pPr>
        <w:widowControl/>
        <w:spacing w:before="100" w:beforeAutospacing="1" w:after="100" w:afterAutospacing="1" w:line="450" w:lineRule="atLeast"/>
        <w:jc w:val="left"/>
        <w:rPr>
          <w:rFonts w:ascii="微软雅黑" w:eastAsia="微软雅黑" w:hAnsi="微软雅黑" w:cs="宋体" w:hint="eastAsia"/>
          <w:color w:val="4C5157"/>
          <w:kern w:val="0"/>
          <w:sz w:val="24"/>
          <w:szCs w:val="24"/>
        </w:rPr>
      </w:pPr>
      <w:r w:rsidRPr="00EE46C8">
        <w:rPr>
          <w:rFonts w:ascii="微软雅黑" w:eastAsia="微软雅黑" w:hAnsi="微软雅黑" w:cs="宋体" w:hint="eastAsia"/>
          <w:color w:val="4C5157"/>
          <w:kern w:val="0"/>
          <w:sz w:val="24"/>
          <w:szCs w:val="24"/>
        </w:rPr>
        <w:t>管线计算范围应取楼层或单元公共管道井之外的管线长度。</w:t>
      </w:r>
    </w:p>
    <w:p w14:paraId="6DABCF41" w14:textId="77777777" w:rsidR="00EE46C8" w:rsidRPr="00EE46C8" w:rsidRDefault="00EE46C8" w:rsidP="00EE46C8">
      <w:pPr>
        <w:rPr>
          <w:rFonts w:hint="eastAsia"/>
          <w:sz w:val="15"/>
          <w:szCs w:val="16"/>
        </w:rPr>
      </w:pPr>
    </w:p>
    <w:sectPr w:rsidR="00EE46C8" w:rsidRPr="00EE46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7E41" w14:textId="77777777" w:rsidR="00650FE5" w:rsidRDefault="00650FE5" w:rsidP="00EE46C8">
      <w:r>
        <w:separator/>
      </w:r>
    </w:p>
  </w:endnote>
  <w:endnote w:type="continuationSeparator" w:id="0">
    <w:p w14:paraId="1E3A619B" w14:textId="77777777" w:rsidR="00650FE5" w:rsidRDefault="00650FE5" w:rsidP="00EE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F288" w14:textId="77777777" w:rsidR="00650FE5" w:rsidRDefault="00650FE5" w:rsidP="00EE46C8">
      <w:r>
        <w:separator/>
      </w:r>
    </w:p>
  </w:footnote>
  <w:footnote w:type="continuationSeparator" w:id="0">
    <w:p w14:paraId="6AF2EA8F" w14:textId="77777777" w:rsidR="00650FE5" w:rsidRDefault="00650FE5" w:rsidP="00EE4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FB"/>
    <w:rsid w:val="00650FE5"/>
    <w:rsid w:val="00EC77FB"/>
    <w:rsid w:val="00EE4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CA762"/>
  <w15:chartTrackingRefBased/>
  <w15:docId w15:val="{CCED82A5-8404-4869-A959-595CDA2B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6C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46C8"/>
    <w:rPr>
      <w:sz w:val="18"/>
      <w:szCs w:val="18"/>
    </w:rPr>
  </w:style>
  <w:style w:type="paragraph" w:styleId="a5">
    <w:name w:val="footer"/>
    <w:basedOn w:val="a"/>
    <w:link w:val="a6"/>
    <w:uiPriority w:val="99"/>
    <w:unhideWhenUsed/>
    <w:rsid w:val="00EE46C8"/>
    <w:pPr>
      <w:tabs>
        <w:tab w:val="center" w:pos="4153"/>
        <w:tab w:val="right" w:pos="8306"/>
      </w:tabs>
      <w:snapToGrid w:val="0"/>
      <w:jc w:val="left"/>
    </w:pPr>
    <w:rPr>
      <w:sz w:val="18"/>
      <w:szCs w:val="18"/>
    </w:rPr>
  </w:style>
  <w:style w:type="character" w:customStyle="1" w:styleId="a6">
    <w:name w:val="页脚 字符"/>
    <w:basedOn w:val="a0"/>
    <w:link w:val="a5"/>
    <w:uiPriority w:val="99"/>
    <w:rsid w:val="00EE46C8"/>
    <w:rPr>
      <w:sz w:val="18"/>
      <w:szCs w:val="18"/>
    </w:rPr>
  </w:style>
  <w:style w:type="paragraph" w:styleId="a7">
    <w:name w:val="Normal (Web)"/>
    <w:basedOn w:val="a"/>
    <w:uiPriority w:val="99"/>
    <w:semiHidden/>
    <w:unhideWhenUsed/>
    <w:rsid w:val="00EE46C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E46C8"/>
    <w:rPr>
      <w:b/>
      <w:bCs/>
    </w:rPr>
  </w:style>
  <w:style w:type="character" w:styleId="a9">
    <w:name w:val="Emphasis"/>
    <w:basedOn w:val="a0"/>
    <w:uiPriority w:val="20"/>
    <w:qFormat/>
    <w:rsid w:val="00EE46C8"/>
    <w:rPr>
      <w:i/>
      <w:iCs/>
    </w:rPr>
  </w:style>
  <w:style w:type="paragraph" w:customStyle="1" w:styleId="vsbcontentend">
    <w:name w:val="vsbcontent_end"/>
    <w:basedOn w:val="a"/>
    <w:rsid w:val="00EE46C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9918">
      <w:bodyDiv w:val="1"/>
      <w:marLeft w:val="0"/>
      <w:marRight w:val="0"/>
      <w:marTop w:val="0"/>
      <w:marBottom w:val="0"/>
      <w:divBdr>
        <w:top w:val="none" w:sz="0" w:space="0" w:color="auto"/>
        <w:left w:val="none" w:sz="0" w:space="0" w:color="auto"/>
        <w:bottom w:val="none" w:sz="0" w:space="0" w:color="auto"/>
        <w:right w:val="none" w:sz="0" w:space="0" w:color="auto"/>
      </w:divBdr>
      <w:divsChild>
        <w:div w:id="735125233">
          <w:marLeft w:val="0"/>
          <w:marRight w:val="0"/>
          <w:marTop w:val="0"/>
          <w:marBottom w:val="0"/>
          <w:divBdr>
            <w:top w:val="none" w:sz="0" w:space="0" w:color="auto"/>
            <w:left w:val="none" w:sz="0" w:space="0" w:color="auto"/>
            <w:bottom w:val="none" w:sz="0" w:space="0" w:color="auto"/>
            <w:right w:val="none" w:sz="0" w:space="0" w:color="auto"/>
          </w:divBdr>
          <w:divsChild>
            <w:div w:id="1697806072">
              <w:marLeft w:val="0"/>
              <w:marRight w:val="0"/>
              <w:marTop w:val="0"/>
              <w:marBottom w:val="0"/>
              <w:divBdr>
                <w:top w:val="none" w:sz="0" w:space="0" w:color="auto"/>
                <w:left w:val="none" w:sz="0" w:space="0" w:color="auto"/>
                <w:bottom w:val="none" w:sz="0" w:space="0" w:color="auto"/>
                <w:right w:val="none" w:sz="0" w:space="0" w:color="auto"/>
              </w:divBdr>
              <w:divsChild>
                <w:div w:id="838620472">
                  <w:marLeft w:val="0"/>
                  <w:marRight w:val="0"/>
                  <w:marTop w:val="0"/>
                  <w:marBottom w:val="0"/>
                  <w:divBdr>
                    <w:top w:val="none" w:sz="0" w:space="0" w:color="auto"/>
                    <w:left w:val="none" w:sz="0" w:space="0" w:color="auto"/>
                    <w:bottom w:val="none" w:sz="0" w:space="0" w:color="auto"/>
                    <w:right w:val="none" w:sz="0" w:space="0" w:color="auto"/>
                  </w:divBdr>
                  <w:divsChild>
                    <w:div w:id="16037576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2022-05-07T08:09:00Z</dcterms:created>
  <dcterms:modified xsi:type="dcterms:W3CDTF">2022-05-07T08:10:00Z</dcterms:modified>
</cp:coreProperties>
</file>